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441—31.6</w:t>
      </w:r>
      <w:r>
        <w:rPr>
          <w:rFonts w:ascii="Times New Roman" w:hAnsi="Times New Roman"/>
          <w:b/>
          <w:i w:val="false"/>
          <w:color w:val="000000"/>
          <w:sz w:val="22"/>
        </w:rPr>
        <w:t xml:space="preserve">(229A) </w:t>
      </w:r>
      <w:r>
        <w:rPr>
          <w:rFonts w:ascii="Times New Roman" w:hAnsi="Times New Roman"/>
          <w:b/>
          <w:i w:val="false"/>
          <w:color w:val="000000"/>
          <w:sz w:val="22"/>
        </w:rPr>
        <w:t xml:space="preserve">Communication with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CCUSO does not allow patients to receive incoming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Outgoing telephone calls. </w:t>
      </w:r>
      <w:r>
        <w:rPr>
          <w:rFonts w:ascii="Times New Roman" w:hAnsi="Times New Roman"/>
          <w:b w:val="false"/>
          <w:i w:val="false"/>
          <w:color w:val="000000"/>
          <w:sz w:val="22"/>
        </w:rPr>
        <w:t>CCUSO will maintain policies and procedures for patients to make outgoing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31.6(3)</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 patient’s attorney shall have the right to visit or have telephone contact with the patient at any reasonable time. The patient shall have the right to call the individual’s attorney during normal business hours and at other times with the consent of the attorney. The patient or the attorney shall be responsible for any costs associated with the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31.6(4)</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Interviews of a patient by the news media or other outside persons or groups shall be permitted only with the prior consent of the patient or the patient’s guardian. Requests for interviews shall be made to the institutional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31.6(5)</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r>
        <w:rPr>
          <w:rFonts w:ascii="Times New Roman" w:hAnsi="Times New Roman"/>
          <w:b w:val="false"/>
          <w:i w:val="false"/>
          <w:color w:val="000000"/>
          <w:sz w:val="22"/>
        </w:rPr>
        <w:t>CCUSO will maintain policies and procedures for incoming and outgoing mail, including a policy that correspondence is not permitted between a patient and a patient’s victim, a registered sex offender, or another patient residing at CCUSO. Should mail or packages be rejected by the facility for any reason, such as containing contraband, being a security risk, or being counter-therapeutic, notice will be provided to the sender and the recipient via the CCUSO form Notice of Rejection of Mail within two business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