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441—31.4</w:t>
      </w:r>
      <w:r>
        <w:rPr>
          <w:rFonts w:ascii="Times New Roman" w:hAnsi="Times New Roman"/>
          <w:b/>
          <w:i w:val="false"/>
          <w:color w:val="000000"/>
          <w:sz w:val="22"/>
        </w:rPr>
        <w:t xml:space="preserve">(229A) </w:t>
      </w:r>
      <w:r>
        <w:rPr>
          <w:rFonts w:ascii="Times New Roman" w:hAnsi="Times New Roman"/>
          <w:b/>
          <w:i w:val="false"/>
          <w:color w:val="000000"/>
          <w:sz w:val="22"/>
        </w:rPr>
        <w:t xml:space="preserve">Photographing and recording patients. </w:t>
      </w:r>
      <w:r>
        <w:rPr>
          <w:rFonts w:ascii="Times New Roman" w:hAnsi="Times New Roman"/>
          <w:b w:val="false"/>
          <w:i w:val="false"/>
          <w:color w:val="000000"/>
          <w:sz w:val="22"/>
        </w:rPr>
        <w:t>CCUSO will utilize video surveillance for security and investigations. Photographing and video and audio recording of patients for any other purpose are subject to CCUSO’s policies and procedures for prior authorization.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0592D</w:t>
      </w:r>
      <w:r>
        <w:rPr>
          <w:rFonts w:ascii="Times New Roman" w:hAnsi="Times New Roman"/>
          <w:b w:val="false"/>
          <w:i w:val="false"/>
          <w:color w:val="000000"/>
          <w:sz w:val="16"/>
        </w:rPr>
        <w:t>, IAB 9/16/26, effective 11/1/26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