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187—9.1</w:t>
      </w:r>
      <w:r>
        <w:rPr>
          <w:rFonts w:ascii="Times New Roman" w:hAnsi="Times New Roman"/>
          <w:b/>
          <w:i w:val="false"/>
          <w:color w:val="000000"/>
          <w:sz w:val="22"/>
        </w:rPr>
        <w:t xml:space="preserve">(17A,524) </w:t>
      </w:r>
      <w:r>
        <w:rPr>
          <w:rFonts w:ascii="Times New Roman" w:hAnsi="Times New Roman"/>
          <w:b/>
          <w:i w:val="false"/>
          <w:color w:val="000000"/>
          <w:sz w:val="22"/>
        </w:rPr>
        <w:t xml:space="preserve">Real estate lending. </w:t>
      </w:r>
      <w:r>
        <w:rPr>
          <w:rFonts w:ascii="Times New Roman" w:hAnsi="Times New Roman"/>
          <w:b w:val="false"/>
          <w:i w:val="false"/>
          <w:color w:val="000000"/>
          <w:sz w:val="22"/>
        </w:rPr>
        <w:t>This rule applies to real estate loans originated by a state bank or acquired by purchase, assignment,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Written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a state bank shall formulate and maintain a written real estate lending policy that is appropriate for its size and the nature and scope of its operation. Each policy must be comprehensive and consistent with safe and sound lending practices. The standards and limits established in the policy must be reviewed and approved at least annually by the board. The real estate lending policy should reflect the level of risk that is acceptable to the board and should provide clear and measurable underwriting standards that enable the state bank’s lending staff to evaluate all relevant credit factors. The real estate lending policy, at a minimum, should: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geographic area where the state bank will consider lending.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loan portfolio diversification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appropriate terms and conditions by type of real estate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 loan origination and approval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 prudent underwriting standards that include clear and measurable loan-to-value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Establish review and approval procedures for exempted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Establish loan administration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 real estate appraisal and evaluation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 the bank to monitor the portfolio and provide timely reports to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Establish procedures for conformance with secondary market investor requirements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formulating the real estate policy, the board should consider both internal and external factors, such as size and condition of the state bank, expertise of its lending staff, avoidance of undue concentrations of risk, compliance with all real estate-related laws and rules, and general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Loan-to-value limits. </w:t>
      </w:r>
      <w:r>
        <w:rPr>
          <w:rFonts w:ascii="Times New Roman" w:hAnsi="Times New Roman"/>
          <w:b w:val="false"/>
          <w:i w:val="false"/>
          <w:color w:val="000000"/>
          <w:sz w:val="22"/>
        </w:rPr>
        <w:t>The board of directors of the state bank shall establish its own internal loan-to-value (LTV) limits for real estate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In-transit loans. </w:t>
      </w:r>
      <w:r>
        <w:rPr>
          <w:rFonts w:ascii="Times New Roman" w:hAnsi="Times New Roman"/>
          <w:b w:val="false"/>
          <w:i w:val="false"/>
          <w:color w:val="000000"/>
          <w:sz w:val="22"/>
        </w:rPr>
        <w:t>Real estate loans made for sale into the secondary market are considered in transit for a period of 90 days after being sold and are not considered risk assets for reserving purposes during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Evidence of title. </w:t>
      </w:r>
      <w:r>
        <w:rPr>
          <w:rFonts w:ascii="Times New Roman" w:hAnsi="Times New Roman"/>
          <w:b w:val="false"/>
          <w:i w:val="false"/>
          <w:color w:val="000000"/>
          <w:sz w:val="22"/>
        </w:rPr>
        <w:t>The state bank shall obtain, when lending for the purpose of acquisition or for the purpose of refinance of acquisition of an interest in real estate that is an owner-occupied one- to four-family dwelling occupied or used or intended to be occupied for residential purposes, when a new mortgage, deed of trust, or similar instrument is filed,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legal opinion by an attorney admitted to practice in the state in which the real estate is located showing marketable title in the mortgagor and describing any existing liens and stating that the state bank’s mortgage, deed of trust, or similar instrument is a lien on the real estate. An Iowa title guaranty certificate issued by the Iowa title guaranty division of the Iowa finance authority satisfies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insurance written by an insurance company licensed to do business in the state in which the real property is located describing any existing liens and insuring the title to the real property and the validity and enforceability of the mortgage, deed of trust, or similar instrument as a lien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Because other factors significantly outweigh the need to apply the provisions of this rule in certain real estate transactions, the following transactions are exempt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Loans guaranteed, insured, or for which a written commitment for such has been issued by the U.S. government or its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Loans guaranteed, insured, or for which a written commitment for such has been issued by the state of Iowa, a political subdivision, or agency thereof, provided that the state bank has determined that the guarantor or insurer has the financial capacity and willingness to perform under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real estate as collateral to secure debts previously contracted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Securities collateralized by real estate, but in which a state bank may invest pursuant to Iowa Code section </w:t>
      </w:r>
      <w:hyperlink r:id="rId4">
        <w:r>
          <w:rPr>
            <w:rStyle w:val="Hyperlink"/>
            <w:rFonts w:ascii="Times New Roman" w:hAnsi="Times New Roman"/>
            <w:b w:val="false"/>
            <w:i w:val="false"/>
            <w:color w:val="000000"/>
            <w:sz w:val="22"/>
          </w:rPr>
          <w:t>524.901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superintendent, any other loans approved, issued, insured, or guaranteed by any other federal or state-sponsored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w:t>
      </w:r>
      <w:r>
        <w:rPr>
          <w:rFonts w:ascii="Times New Roman" w:hAnsi="Times New Roman"/>
          <w:b w:val="false"/>
          <w:i w:val="false"/>
          <w:color w:val="000000"/>
          <w:sz w:val="22"/>
        </w:rPr>
        <w:t> </w:t>
      </w:r>
      <w:r>
        <w:rPr>
          <w:rFonts w:ascii="Times New Roman" w:hAnsi="Times New Roman"/>
          <w:b w:val="false"/>
          <w:i/>
          <w:color w:val="000000"/>
          <w:sz w:val="22"/>
        </w:rPr>
        <w:t xml:space="preserve">Exempted transactions. </w:t>
      </w:r>
      <w:r>
        <w:rPr>
          <w:rFonts w:ascii="Times New Roman" w:hAnsi="Times New Roman"/>
          <w:b w:val="false"/>
          <w:i w:val="false"/>
          <w:color w:val="000000"/>
          <w:sz w:val="22"/>
        </w:rPr>
        <w:t xml:space="preserve">In addition to the exemptions set forth in subrule </w:t>
      </w:r>
      <w:hyperlink r:id="rId5">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 it may be appropriate, in light of all relevant credit considerations, including community reinvestment factors, for state banks, in certain instances, to originate or purchase real estate loans that do not meet the requirements of this rule. State banks are allowed to make such loans; however, the aggregate amount of all real estate loans that fall into this category shall not exceed aggregate capital as reflected on the state bank’s most recent consolidated report of condition, unless prior approval to exceed this limitation has been obtained from the superintendent. These exempted loans must be identified by the board of directors by name and outstanding balance and be reviewed by the board at least annually. Examiners, during the course of their examinations, will determine whether these exempted loans are adequately documented and appropriate in light of overall safety and soundness considerations. No real estate loans to directors, officers, or principal shareholders or their related interests shall be allowed in the exempted category of this subrule.</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
        <w:r>
          <w:rPr>
            <w:rStyle w:val="Hyperlink"/>
            <w:rFonts w:ascii="Times New Roman" w:hAnsi="Times New Roman"/>
            <w:b w:val="false"/>
            <w:i w:val="false"/>
            <w:color w:val="000000"/>
            <w:sz w:val="22"/>
          </w:rPr>
          <w:t>524.905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0586D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4.901.pdf" Type="http://schemas.openxmlformats.org/officeDocument/2006/relationships/hyperlink" Id="rId4"/>
    <Relationship TargetMode="External" Target="https://www.legis.iowa.gov/docs/iac/rule/187.9.2.pdf" Type="http://schemas.openxmlformats.org/officeDocument/2006/relationships/hyperlink" Id="rId5"/>
    <Relationship TargetMode="External" Target="https://www.legis.iowa.gov/docs/ico/chapter/524.90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