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187—8.1</w:t>
      </w:r>
      <w:r>
        <w:rPr>
          <w:rFonts w:ascii="Times New Roman" w:hAnsi="Times New Roman"/>
          <w:b/>
          <w:i w:val="false"/>
          <w:color w:val="000000"/>
          <w:sz w:val="22"/>
        </w:rPr>
        <w:t xml:space="preserve">(12B) </w:t>
      </w:r>
      <w:r>
        <w:rPr>
          <w:rFonts w:ascii="Times New Roman" w:hAnsi="Times New Roman"/>
          <w:b/>
          <w:i w:val="false"/>
          <w:color w:val="000000"/>
          <w:sz w:val="22"/>
        </w:rPr>
        <w:t xml:space="preserve">Approved rating services. </w:t>
      </w:r>
      <w:r>
        <w:rPr>
          <w:rFonts w:ascii="Times New Roman" w:hAnsi="Times New Roman"/>
          <w:b w:val="false"/>
          <w:i w:val="false"/>
          <w:color w:val="000000"/>
          <w:sz w:val="22"/>
        </w:rPr>
        <w:t xml:space="preserve">Rating services approved by the superintendent as provided by Iowa Code section </w:t>
      </w:r>
      <w:hyperlink r:id="rId4">
        <w:r>
          <w:rPr>
            <w:rStyle w:val="Hyperlink"/>
            <w:rFonts w:ascii="Times New Roman" w:hAnsi="Times New Roman"/>
            <w:b w:val="false"/>
            <w:i w:val="false"/>
            <w:color w:val="000000"/>
            <w:sz w:val="22"/>
          </w:rPr>
          <w:t>12B.10</w:t>
        </w:r>
      </w:hyperlink>
      <w:r>
        <w:rPr>
          <w:rFonts w:ascii="Times New Roman" w:hAnsi="Times New Roman"/>
          <w:b w:val="false"/>
          <w:i w:val="false"/>
          <w:color w:val="000000"/>
          <w:sz w:val="22"/>
        </w:rPr>
        <w:t xml:space="preserve"> for use by the treasurer of state and the treasurer of each political subdivision in determining qualifying commercial paper investments include all nationally recognized statistical rating organizations registered with the United States Securities and Exchange Commission. </w:t>
      </w:r>
    </w:p>
    <w:p>
      <w:pPr>
        <w:spacing w:before="0" w:after="0"/>
        <w:ind w:left="120"/>
        <w:jc w:val="both"/>
      </w:pPr>
      <w:r>
        <w:rPr>
          <w:rFonts w:ascii="Times New Roman" w:hAnsi="Times New Roman"/>
          <w:b w:val="false"/>
          <w:i w:val="false"/>
          <w:color w:val="000000"/>
          <w:sz w:val="22"/>
        </w:rPr>
        <w:t xml:space="preserve"> This rule is intended to implement Iowa Code section </w:t>
      </w:r>
      <w:hyperlink r:id="rId5">
        <w:r>
          <w:rPr>
            <w:rStyle w:val="Hyperlink"/>
            <w:rFonts w:ascii="Times New Roman" w:hAnsi="Times New Roman"/>
            <w:b w:val="false"/>
            <w:i w:val="false"/>
            <w:color w:val="000000"/>
            <w:sz w:val="22"/>
          </w:rPr>
          <w:t>12B.10</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0585D</w:t>
      </w:r>
      <w:r>
        <w:rPr>
          <w:rFonts w:ascii="Times New Roman" w:hAnsi="Times New Roman"/>
          <w:b w:val="false"/>
          <w:i w:val="false"/>
          <w:color w:val="000000"/>
          <w:sz w:val="16"/>
        </w:rPr>
        <w:t>, IAB 9/16/26, effective 10/21/26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2B.10.pdf" Type="http://schemas.openxmlformats.org/officeDocument/2006/relationships/hyperlink" Id="rId4"/>
    <Relationship TargetMode="External" Target="https://www.legis.iowa.gov/docs/ico/chapter/12B.10.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