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187—2.6</w:t>
      </w:r>
      <w:r>
        <w:rPr>
          <w:rFonts w:ascii="Times New Roman" w:hAnsi="Times New Roman"/>
          <w:b/>
          <w:i w:val="false"/>
          <w:color w:val="000000"/>
          <w:sz w:val="22"/>
        </w:rPr>
        <w:t xml:space="preserve">(17A,524) </w:t>
      </w:r>
      <w:r>
        <w:rPr>
          <w:rFonts w:ascii="Times New Roman" w:hAnsi="Times New Roman"/>
          <w:b/>
          <w:i w:val="false"/>
          <w:color w:val="000000"/>
          <w:sz w:val="22"/>
        </w:rPr>
        <w:t xml:space="preserve">Change of control.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application by any person to purchase or otherwise acquire, directly or indirectly, outstanding shares of a state bank that would result in control or a change in control shall be submitted in the format requested by the superintendent and, at a minimum,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Copy of the agreement between the purchaser and seller for the sale of stock that results in the buyer acquiring a majority interest in the state bank.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Terms of any financing, including any bank stock loan, including the amount to be borrowed, rate of interest, number of years the loan is to run, collateral pledged to secure the indebtedness, and any other pertinent information relating to such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Financial statement of the purchaser and a résumé related to the purchaser’s past experience and affiliations.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 forma statement of the purchaser’s income and expenses during the term of any bank stock loan and a statement from the purchaser indicating which assets will be converted to cash or pledged as security to provide the initial equity.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Projections of statement of condition of the state bank to be purchased during the term of any bank stock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Projections of income and expenses of the state bank to be purchased during the term of any bank stock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plans that the purchaser may have that would represent major changes in the present staff or policies of the state bank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When requested by the superintendent, an affidavit signed by the purchaser stating that the majority interest in the state bank is not being acquired for the benefit of another person or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superintendent shall approve or deny the application within 90 days after the application has been accepted for processing. Upon receipt of a certificate of approval, the applicant may proceed to conclude the purchase transaction, subject to such terms and conditions as the superintendent may impose.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524.544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0583D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24.54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