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(17A,524)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Organization of a state-chartered bank.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desiring to organize a state-chartered bank should first meet with the superintendent to discuss the proposal.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524.303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24.303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