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187—19.8</w:t>
      </w:r>
      <w:r>
        <w:rPr>
          <w:rFonts w:ascii="Times New Roman" w:hAnsi="Times New Roman"/>
          <w:b/>
          <w:i w:val="false"/>
          <w:color w:val="000000"/>
          <w:sz w:val="22"/>
        </w:rPr>
        <w:t xml:space="preserve">(17A,535D) </w:t>
      </w:r>
      <w:r>
        <w:rPr>
          <w:rFonts w:ascii="Times New Roman" w:hAnsi="Times New Roman"/>
          <w:b/>
          <w:i w:val="false"/>
          <w:color w:val="000000"/>
          <w:sz w:val="22"/>
        </w:rPr>
        <w:t xml:space="preserve">Administrative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19.8(1)</w:t>
      </w:r>
      <w:r>
        <w:rPr>
          <w:rFonts w:ascii="Times New Roman" w:hAnsi="Times New Roman"/>
          <w:b w:val="false"/>
          <w:i w:val="false"/>
          <w:color w:val="000000"/>
          <w:sz w:val="22"/>
        </w:rPr>
        <w:t> </w:t>
      </w:r>
      <w:r>
        <w:rPr>
          <w:rFonts w:ascii="Times New Roman" w:hAnsi="Times New Roman"/>
          <w:b w:val="false"/>
          <w:i/>
          <w:color w:val="000000"/>
          <w:sz w:val="22"/>
        </w:rPr>
        <w:t xml:space="preserve">Investigation or examination fees. </w:t>
      </w:r>
      <w:r>
        <w:rPr>
          <w:rFonts w:ascii="Times New Roman" w:hAnsi="Times New Roman"/>
          <w:b w:val="false"/>
          <w:i w:val="false"/>
          <w:color w:val="000000"/>
          <w:sz w:val="22"/>
        </w:rPr>
        <w:t xml:space="preserve">A licensee shall pay an investigation or examination fee as determined by the superintendent based on the actual cost of the operation of the finance bureau of the banking division as described in Iowa Code section </w:t>
      </w:r>
      <w:hyperlink r:id="rId4">
        <w:r>
          <w:rPr>
            <w:rStyle w:val="Hyperlink"/>
            <w:rFonts w:ascii="Times New Roman" w:hAnsi="Times New Roman"/>
            <w:b w:val="false"/>
            <w:i w:val="false"/>
            <w:color w:val="000000"/>
            <w:sz w:val="22"/>
          </w:rPr>
          <w:t>535D.11(2)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19.8(2)</w:t>
      </w:r>
      <w:r>
        <w:rPr>
          <w:rFonts w:ascii="Times New Roman" w:hAnsi="Times New Roman"/>
          <w:b w:val="false"/>
          <w:i w:val="false"/>
          <w:color w:val="000000"/>
          <w:sz w:val="22"/>
        </w:rPr>
        <w:t> </w:t>
      </w:r>
      <w:r>
        <w:rPr>
          <w:rFonts w:ascii="Times New Roman" w:hAnsi="Times New Roman"/>
          <w:b w:val="false"/>
          <w:i/>
          <w:color w:val="000000"/>
          <w:sz w:val="22"/>
        </w:rPr>
        <w:t xml:space="preserve">Investigation or examination late fees. </w:t>
      </w:r>
      <w:r>
        <w:rPr>
          <w:rFonts w:ascii="Times New Roman" w:hAnsi="Times New Roman"/>
          <w:b w:val="false"/>
          <w:i w:val="false"/>
          <w:color w:val="000000"/>
          <w:sz w:val="22"/>
        </w:rPr>
        <w:t>A licensee shall pay the superintendent the total charge for an investigation or examination within 30 days after the superintendent has requested payment. If a licensee fails to pay an investigation or examination fee by the due date, the superintendent may assess an additional penalty of 5 percent of the amount of the fee for each day after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19.8(3)</w:t>
      </w:r>
      <w:r>
        <w:rPr>
          <w:rFonts w:ascii="Times New Roman" w:hAnsi="Times New Roman"/>
          <w:b w:val="false"/>
          <w:i w:val="false"/>
          <w:color w:val="000000"/>
          <w:sz w:val="22"/>
        </w:rPr>
        <w:t> </w:t>
      </w:r>
      <w:r>
        <w:rPr>
          <w:rFonts w:ascii="Times New Roman" w:hAnsi="Times New Roman"/>
          <w:b w:val="false"/>
          <w:i/>
          <w:color w:val="000000"/>
          <w:sz w:val="22"/>
        </w:rPr>
        <w:t xml:space="preserve">Late fees for failing to respond. </w:t>
      </w:r>
      <w:r>
        <w:rPr>
          <w:rFonts w:ascii="Times New Roman" w:hAnsi="Times New Roman"/>
          <w:b w:val="false"/>
          <w:i w:val="false"/>
          <w:color w:val="000000"/>
          <w:sz w:val="22"/>
        </w:rPr>
        <w:t xml:space="preserve">In the process of administering Iowa Code chapter </w:t>
      </w:r>
      <w:hyperlink r:id="rId5">
        <w:r>
          <w:rPr>
            <w:rStyle w:val="Hyperlink"/>
            <w:rFonts w:ascii="Times New Roman" w:hAnsi="Times New Roman"/>
            <w:b w:val="false"/>
            <w:i w:val="false"/>
            <w:color w:val="000000"/>
            <w:sz w:val="22"/>
          </w:rPr>
          <w:t>535D</w:t>
        </w:r>
      </w:hyperlink>
      <w:r>
        <w:rPr>
          <w:rFonts w:ascii="Times New Roman" w:hAnsi="Times New Roman"/>
          <w:b w:val="false"/>
          <w:i w:val="false"/>
          <w:color w:val="000000"/>
          <w:sz w:val="22"/>
        </w:rPr>
        <w:t>, the superintendent may require a person to provide responses to formal orders, examinations, or complaint inquiries. If a person fails to respond within 30 days of the request, the superintendent may assess a penalty of $10 per day after the initial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19.8(4)</w:t>
      </w:r>
      <w:r>
        <w:rPr>
          <w:rFonts w:ascii="Times New Roman" w:hAnsi="Times New Roman"/>
          <w:b w:val="false"/>
          <w:i w:val="false"/>
          <w:color w:val="000000"/>
          <w:sz w:val="22"/>
        </w:rPr>
        <w:t> </w:t>
      </w:r>
      <w:r>
        <w:rPr>
          <w:rFonts w:ascii="Times New Roman" w:hAnsi="Times New Roman"/>
          <w:b w:val="false"/>
          <w:i/>
          <w:color w:val="000000"/>
          <w:sz w:val="22"/>
        </w:rPr>
        <w:t xml:space="preserve">NMLS system processing fees. </w:t>
      </w:r>
      <w:r>
        <w:rPr>
          <w:rFonts w:ascii="Times New Roman" w:hAnsi="Times New Roman"/>
          <w:b w:val="false"/>
          <w:i w:val="false"/>
          <w:color w:val="000000"/>
          <w:sz w:val="22"/>
        </w:rPr>
        <w:t xml:space="preserve">The applicant or licensee shall pay any fee required by NMLS or attributed to the licensee’s record in NMLS pursuant to rule </w:t>
      </w:r>
      <w:hyperlink r:id="rId6">
        <w:r>
          <w:rPr>
            <w:rStyle w:val="Hyperlink"/>
            <w:rFonts w:ascii="Times New Roman" w:hAnsi="Times New Roman"/>
            <w:b w:val="false"/>
            <w:i w:val="false"/>
            <w:color w:val="000000"/>
            <w:sz w:val="22"/>
          </w:rPr>
          <w:t>187—19.2</w:t>
        </w:r>
      </w:hyperlink>
      <w:r>
        <w:rPr>
          <w:rFonts w:ascii="Times New Roman" w:hAnsi="Times New Roman"/>
          <w:b w:val="false"/>
          <w:i w:val="false"/>
          <w:color w:val="000000"/>
          <w:sz w:val="22"/>
        </w:rPr>
        <w:t>(17A,536).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0591D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5D.11.pdf" Type="http://schemas.openxmlformats.org/officeDocument/2006/relationships/hyperlink" Id="rId4"/>
    <Relationship TargetMode="External" Target="https://www.legis.iowa.gov/docs/ico/chapter/535D.pdf" Type="http://schemas.openxmlformats.org/officeDocument/2006/relationships/hyperlink" Id="rId5"/>
    <Relationship TargetMode="External" Target="https://www.legis.iowa.gov/docs/iac/rule/187.19.2.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