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187—19.7</w:t>
      </w:r>
      <w:r>
        <w:rPr>
          <w:rFonts w:ascii="Times New Roman" w:hAnsi="Times New Roman"/>
          <w:b/>
          <w:i w:val="false"/>
          <w:color w:val="000000"/>
          <w:sz w:val="22"/>
        </w:rPr>
        <w:t xml:space="preserve">(17A,535D)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A licensee shall notify the superintendent through NMLS within ten days of the occurrence of any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19.7(1)</w:t>
      </w:r>
      <w:r>
        <w:rPr>
          <w:rFonts w:ascii="Times New Roman" w:hAnsi="Times New Roman"/>
          <w:b w:val="false"/>
          <w:i w:val="false"/>
          <w:color w:val="000000"/>
          <w:sz w:val="22"/>
        </w:rPr>
        <w:t> </w:t>
      </w:r>
      <w:r>
        <w:rPr>
          <w:rFonts w:ascii="Times New Roman" w:hAnsi="Times New Roman"/>
          <w:b w:val="false"/>
          <w:i w:val="false"/>
          <w:color w:val="000000"/>
          <w:sz w:val="22"/>
        </w:rPr>
        <w:t>The licensee files for bankruptcy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19.7(2)</w:t>
      </w:r>
      <w:r>
        <w:rPr>
          <w:rFonts w:ascii="Times New Roman" w:hAnsi="Times New Roman"/>
          <w:b w:val="false"/>
          <w:i w:val="false"/>
          <w:color w:val="000000"/>
          <w:sz w:val="22"/>
        </w:rPr>
        <w:t> </w:t>
      </w:r>
      <w:r>
        <w:rPr>
          <w:rFonts w:ascii="Times New Roman" w:hAnsi="Times New Roman"/>
          <w:b w:val="false"/>
          <w:i w:val="false"/>
          <w:color w:val="000000"/>
          <w:sz w:val="22"/>
        </w:rPr>
        <w:t>A prosecuting authority files criminal charges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19.7(3)</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institutes license denial, cease and desist, suspension or revocation procedures, or other formal or informal regulatory action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19.7(4)</w:t>
      </w:r>
      <w:r>
        <w:rPr>
          <w:rFonts w:ascii="Times New Roman" w:hAnsi="Times New Roman"/>
          <w:b w:val="false"/>
          <w:i w:val="false"/>
          <w:color w:val="000000"/>
          <w:sz w:val="22"/>
        </w:rPr>
        <w:t> </w:t>
      </w:r>
      <w:r>
        <w:rPr>
          <w:rFonts w:ascii="Times New Roman" w:hAnsi="Times New Roman"/>
          <w:b w:val="false"/>
          <w:i w:val="false"/>
          <w:color w:val="000000"/>
          <w:sz w:val="22"/>
        </w:rPr>
        <w:t>The attorney general of Iowa, the Federal Trade Commission, or the enforcer of the consumer protection laws of any other jurisdiction initiates an action to enforce any consumer protection laws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19.7(5)</w:t>
      </w:r>
      <w:r>
        <w:rPr>
          <w:rFonts w:ascii="Times New Roman" w:hAnsi="Times New Roman"/>
          <w:b w:val="false"/>
          <w:i w:val="false"/>
          <w:color w:val="000000"/>
          <w:sz w:val="22"/>
        </w:rPr>
        <w:t> </w:t>
      </w:r>
      <w:r>
        <w:rPr>
          <w:rFonts w:ascii="Times New Roman" w:hAnsi="Times New Roman"/>
          <w:b w:val="false"/>
          <w:i w:val="false"/>
          <w:color w:val="000000"/>
          <w:sz w:val="22"/>
        </w:rPr>
        <w:t>The Federal National Mortgage Association, Federal Home Loan Mortgage Corporation, Federal Housing Administration, or Government National Mortgage Association suspends or terminates the licensee’s status as an approved loan originator.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19.7(6)</w:t>
      </w:r>
      <w:r>
        <w:rPr>
          <w:rFonts w:ascii="Times New Roman" w:hAnsi="Times New Roman"/>
          <w:b w:val="false"/>
          <w:i w:val="false"/>
          <w:color w:val="000000"/>
          <w:sz w:val="22"/>
        </w:rPr>
        <w:t> </w:t>
      </w:r>
      <w:r>
        <w:rPr>
          <w:rFonts w:ascii="Times New Roman" w:hAnsi="Times New Roman"/>
          <w:b w:val="false"/>
          <w:i w:val="false"/>
          <w:color w:val="000000"/>
          <w:sz w:val="22"/>
        </w:rPr>
        <w:t>The licensee ceases engaging in activities requiring a license and wishes to surrender the licensee’s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19.7(7)</w:t>
      </w:r>
      <w:r>
        <w:rPr>
          <w:rFonts w:ascii="Times New Roman" w:hAnsi="Times New Roman"/>
          <w:b w:val="false"/>
          <w:i w:val="false"/>
          <w:color w:val="000000"/>
          <w:sz w:val="22"/>
        </w:rPr>
        <w:t> </w:t>
      </w:r>
      <w:r>
        <w:rPr>
          <w:rFonts w:ascii="Times New Roman" w:hAnsi="Times New Roman"/>
          <w:b w:val="false"/>
          <w:i w:val="false"/>
          <w:color w:val="000000"/>
          <w:sz w:val="22"/>
        </w:rPr>
        <w:t>A change is made in the licensee’s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