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187—19.4</w:t>
      </w:r>
      <w:r>
        <w:rPr>
          <w:rFonts w:ascii="Times New Roman" w:hAnsi="Times New Roman"/>
          <w:b/>
          <w:i w:val="false"/>
          <w:color w:val="000000"/>
          <w:sz w:val="22"/>
        </w:rPr>
        <w:t xml:space="preserve">(17A,535D) </w:t>
      </w:r>
      <w:r>
        <w:rPr>
          <w:rFonts w:ascii="Times New Roman" w:hAnsi="Times New Roman"/>
          <w:b/>
          <w:i w:val="false"/>
          <w:color w:val="000000"/>
          <w:sz w:val="22"/>
        </w:rPr>
        <w:t xml:space="preserve">Grounds for denial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deny an application for a mortgage loan originator license if the applicant does not meet the qualifications outlined in Iowa Code section </w:t>
      </w:r>
      <w:hyperlink r:id="rId4">
        <w:r>
          <w:rPr>
            <w:rStyle w:val="Hyperlink"/>
            <w:rFonts w:ascii="Times New Roman" w:hAnsi="Times New Roman"/>
            <w:b w:val="false"/>
            <w:i w:val="false"/>
            <w:color w:val="000000"/>
            <w:sz w:val="22"/>
          </w:rPr>
          <w:t>535D.6</w:t>
        </w:r>
      </w:hyperlink>
      <w:r>
        <w:rPr>
          <w:rFonts w:ascii="Times New Roman" w:hAnsi="Times New Roman"/>
          <w:b w:val="false"/>
          <w:i w:val="false"/>
          <w:color w:val="000000"/>
          <w:sz w:val="22"/>
        </w:rPr>
        <w:t xml:space="preserve">. For the purpose of applying Iowa Code section </w:t>
      </w:r>
      <w:hyperlink r:id="rId5">
        <w:r>
          <w:rPr>
            <w:rStyle w:val="Hyperlink"/>
            <w:rFonts w:ascii="Times New Roman" w:hAnsi="Times New Roman"/>
            <w:b w:val="false"/>
            <w:i w:val="false"/>
            <w:color w:val="000000"/>
            <w:sz w:val="22"/>
          </w:rPr>
          <w:t>535D.6(2)</w:t>
        </w:r>
      </w:hyperlink>
      <w:r>
        <w:rPr>
          <w:rFonts w:ascii="Times New Roman" w:hAnsi="Times New Roman"/>
          <w:b w:val="false"/>
          <w:i w:val="false"/>
          <w:color w:val="000000"/>
          <w:sz w:val="22"/>
        </w:rPr>
        <w:t>, “dishonesty or breach of trust” includes but is not limited to forgery, embezzlement, obtaining money under false pretenses, theft, extortion, fraud, conspiracy to defraud, tax evasion, or another similar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19.4(2)</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deny an application for a mortgage loan originator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state or another state or jurisdiction has denied, suspended, or refused to renew the applicant’s license to act as a mortgage loan originator or has denied, suspended, or refused to renew a similar license or registration under this state’s or the other state’s or jurisdiction’s law. An agreement made between a person and this state or another state or jurisdiction not to operate as a mortgage loan originator constitutes a denial of that person’s license to act as a mortgage loan originator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barred, removed, or prohibited from serving in any capacity in a financial institution by any state or federal regulatory agency, including but not limited to the Office of Comptroller of the Currency, the Federal Deposit Insurance Corporation (FDIC), the Board of Governors of the Federal Reserve System, or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convicted of forgery, embezzlement, obtaining money under false pretenses, theft, extortion, conspiracy to defraud, tax evasion, or another similar offense in a court of competent jurisdiction in this state or in any other state, territory or district of the United States or in any foreign jurisdiction. For the purposes of this paragraph, “convicted of” includes a guilty plea, deferred judgment, deferred sentence, or other similar finding of guilt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has had a professional license of any kind revoked in any state or jurisdiction. An agreement to surrender a license and not to operate in an occupation in which a professional license is required is considered a revocation 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has made a false statement of material fact on an application for a license or has been otherwise implicated in the submission of a false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demonstrated a lack of moral character in a manner that the superintendent reasonably believes will impair the applicant’s ability to act as a mortgage loan originator in full compliance with the public interest and state policies described in Iowa Code chapters </w:t>
      </w:r>
      <w:hyperlink r:id="rId6">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pay child support and is identified in a certificate of noncompliance from the child support recovery unit of the department of health and human services according to the procedures in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failed to pay state debt and is identified in a certificate of noncompliance from the department of revenue according to the procedures set forth in Iowa Code chapter </w:t>
      </w:r>
      <w:hyperlink r:id="rId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D.6.pdf" Type="http://schemas.openxmlformats.org/officeDocument/2006/relationships/hyperlink" Id="rId4"/>
    <Relationship TargetMode="External" Target="https://www.legis.iowa.gov/docs/ico/chapter/535D.6.pdf" Type="http://schemas.openxmlformats.org/officeDocument/2006/relationships/hyperlink" Id="rId5"/>
    <Relationship TargetMode="External" Target="https://www.legis.iowa.gov/docs/ico/chapter/535B.pdf" Type="http://schemas.openxmlformats.org/officeDocument/2006/relationships/hyperlink" Id="rId6"/>
    <Relationship TargetMode="External" Target="https://www.legis.iowa.gov/docs/ico/chapter/535D.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72D.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