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187—19.3</w:t>
      </w:r>
      <w:r>
        <w:rPr>
          <w:rFonts w:ascii="Times New Roman" w:hAnsi="Times New Roman"/>
          <w:b/>
          <w:i w:val="false"/>
          <w:color w:val="000000"/>
          <w:sz w:val="22"/>
        </w:rPr>
        <w:t xml:space="preserve">(17A,535D) </w:t>
      </w:r>
      <w:r>
        <w:rPr>
          <w:rFonts w:ascii="Times New Roman" w:hAnsi="Times New Roman"/>
          <w:b/>
          <w:i w:val="false"/>
          <w:color w:val="000000"/>
          <w:sz w:val="22"/>
        </w:rPr>
        <w:t xml:space="preserve">Application for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act as a mortgage loan originator shall be submitted to the superintendent, on the form provided and with the information requested, through NMLS. The superintendent may consider an application withdrawn if it does not contain all required information and the information is not submitted to the superintendent within 30 days after the superintendent requests the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complete the prelicensing education requirements specified in Iowa Code section </w:t>
      </w:r>
      <w:hyperlink r:id="rId4">
        <w:r>
          <w:rPr>
            <w:rStyle w:val="Hyperlink"/>
            <w:rFonts w:ascii="Times New Roman" w:hAnsi="Times New Roman"/>
            <w:b w:val="false"/>
            <w:i w:val="false"/>
            <w:color w:val="000000"/>
            <w:sz w:val="22"/>
          </w:rPr>
          <w:t>535D.7</w:t>
        </w:r>
      </w:hyperlink>
      <w:r>
        <w:rPr>
          <w:rFonts w:ascii="Times New Roman" w:hAnsi="Times New Roman"/>
          <w:b w:val="false"/>
          <w:i w:val="false"/>
          <w:color w:val="000000"/>
          <w:sz w:val="22"/>
        </w:rPr>
        <w:t xml:space="preserve"> and pass the SAFE mortgage loan originator test approved by NMLS pursuant to Iowa Code section </w:t>
      </w:r>
      <w:hyperlink r:id="rId5">
        <w:r>
          <w:rPr>
            <w:rStyle w:val="Hyperlink"/>
            <w:rFonts w:ascii="Times New Roman" w:hAnsi="Times New Roman"/>
            <w:b w:val="false"/>
            <w:i w:val="false"/>
            <w:color w:val="000000"/>
            <w:sz w:val="22"/>
          </w:rPr>
          <w:t>535D.8</w:t>
        </w:r>
      </w:hyperlink>
      <w:r>
        <w:rPr>
          <w:rFonts w:ascii="Times New Roman" w:hAnsi="Times New Roman"/>
          <w:b w:val="false"/>
          <w:i w:val="false"/>
          <w:color w:val="000000"/>
          <w:sz w:val="22"/>
        </w:rPr>
        <w:t xml:space="preserve"> before submitting an application. The test is comprised of a national component and a state component, and applicants must pass each component with a score of 75 percent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val="false"/>
          <w:color w:val="000000"/>
          <w:sz w:val="22"/>
        </w:rPr>
        <w:t>The applicant must submit a $50 application fee. This fee is nonrefundable. This fee is in addition to any fees established and charged by NMLS, any approved education course provider, any approved education testing provider, any law enforcement agency for fingerprints and background checks, or by any credit reporting agency used by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provide fingerprints, authorize a criminal history background check as specified in Iowa Code section </w:t>
      </w:r>
      <w:hyperlink r:id="rId6">
        <w:r>
          <w:rPr>
            <w:rStyle w:val="Hyperlink"/>
            <w:rFonts w:ascii="Times New Roman" w:hAnsi="Times New Roman"/>
            <w:b w:val="false"/>
            <w:i w:val="false"/>
            <w:color w:val="000000"/>
            <w:sz w:val="22"/>
          </w:rPr>
          <w:t>535D.5(4)</w:t>
        </w:r>
      </w:hyperlink>
      <w:r>
        <w:rPr>
          <w:rFonts w:ascii="Times New Roman" w:hAnsi="Times New Roman"/>
          <w:b w:val="false"/>
          <w:i w:val="false"/>
          <w:color w:val="000000"/>
          <w:sz w:val="22"/>
        </w:rPr>
        <w:t xml:space="preserve">, and pay the appropriate fees for the purpose of conducting a national criminal history background check through the Federal Bureau of Investigation. This requirement applies to all individuals, regardless of whether the applicant was previously registered under Iowa Code chapter </w:t>
      </w:r>
      <w:hyperlink r:id="rId7">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if the applicant has previously submitted fingerprint cards for licensure.</w:t>
      </w:r>
    </w:p>
    <w:p>
      <w:pPr>
        <w:spacing w:before="0" w:after="0"/>
        <w:ind w:left="120"/>
        <w:jc w:val="both"/>
      </w:pP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mortgage loan originator license must file with the superintendent a bond complying with the provisions of Iowa Code section </w:t>
      </w:r>
      <w:hyperlink r:id="rId8">
        <w:r>
          <w:rPr>
            <w:rStyle w:val="Hyperlink"/>
            <w:rFonts w:ascii="Times New Roman" w:hAnsi="Times New Roman"/>
            <w:b w:val="false"/>
            <w:i w:val="false"/>
            <w:color w:val="000000"/>
            <w:sz w:val="22"/>
          </w:rPr>
          <w:t>535D.14</w:t>
        </w:r>
      </w:hyperlink>
      <w:r>
        <w:rPr>
          <w:rFonts w:ascii="Times New Roman" w:hAnsi="Times New Roman"/>
          <w:b w:val="false"/>
          <w:i w:val="false"/>
          <w:color w:val="000000"/>
          <w:sz w:val="22"/>
        </w:rPr>
        <w:t>. An applicant or licensee may satisfy this requirement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may be covered by the bond of a company subject to Iowa Code chapter </w:t>
      </w:r>
      <w:hyperlink r:id="rId9">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as specified in Iowa Code section </w:t>
      </w:r>
      <w:hyperlink r:id="rId12">
        <w:r>
          <w:rPr>
            <w:rStyle w:val="Hyperlink"/>
            <w:rFonts w:ascii="Times New Roman" w:hAnsi="Times New Roman"/>
            <w:b w:val="false"/>
            <w:i w:val="false"/>
            <w:color w:val="000000"/>
            <w:sz w:val="22"/>
          </w:rPr>
          <w:t>535D.14(1)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who is not covered by a company bond pursuant to paragraph </w:t>
      </w:r>
      <w:hyperlink r:id="rId13">
        <w:r>
          <w:rPr>
            <w:rStyle w:val="Hyperlink"/>
            <w:rFonts w:ascii="Times New Roman" w:hAnsi="Times New Roman"/>
            <w:b w:val="false"/>
            <w:i w:val="false"/>
            <w:color w:val="000000"/>
            <w:sz w:val="22"/>
          </w:rPr>
          <w:t>19.3(5)</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an individual bond meeting the requirements of paragraph </w:t>
      </w:r>
      <w:hyperlink r:id="rId14">
        <w:r>
          <w:rPr>
            <w:rStyle w:val="Hyperlink"/>
            <w:rFonts w:ascii="Times New Roman" w:hAnsi="Times New Roman"/>
            <w:b w:val="false"/>
            <w:i w:val="false"/>
            <w:color w:val="000000"/>
            <w:sz w:val="22"/>
          </w:rPr>
          <w:t>19.3(5)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amount required to be filed and maintained by or on behalf of a mortgage loan originator who is not an employee or exclusive agent of a company subject to Iowa Code chapter </w:t>
      </w:r>
      <w:hyperlink r:id="rId1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be set and adjusted annually using the following scale, based on the volume of residential mortgage loans originated, processed, and underwritten, as the case may be, by the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val="false"/>
          <w:color w:val="000000"/>
          <w:sz w:val="22"/>
        </w:rPr>
        <w:t>To engage in activities requiring a license, a mortgage loan originator must be employed by, under contract with, or an exclusive agent of a licensed company or a company that is exempt from licensing requirements. The superintendent may consider an application for a mortgage loan originator license from a person not currently employed by, under contract with, or an exclusive agent of a licensee. If the superintendent determines that the applicant is otherwise eligible for a mortgage loan originator license, the superintendent shall approve the license in “active-inactive” status or similar status type indicating that the applicant has met the individual requirements for licensure but is not authorized to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completed 20 hours of prelicensure education pursuant to </w:t>
      </w:r>
      <w:r>
        <w:rPr>
          <w:rFonts w:ascii="Times New Roman" w:hAnsi="Times New Roman"/>
          <w:b w:val="false"/>
          <w:i w:val="false"/>
          <w:color w:val="000000"/>
          <w:sz w:val="22"/>
        </w:rPr>
        <w:t>12 U.S.C. 5104(c)</w:t>
      </w:r>
      <w:r>
        <w:rPr>
          <w:rFonts w:ascii="Times New Roman" w:hAnsi="Times New Roman"/>
          <w:b w:val="false"/>
          <w:i w:val="false"/>
          <w:color w:val="000000"/>
          <w:sz w:val="22"/>
        </w:rPr>
        <w:t xml:space="preserve"> must retake 20 hours of prelicensure education in order to be eligible for mortgage loan originator licensure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acquire a valid state license or federal registration as a mortgage loan originator within three years from the date of federal compliance with </w:t>
      </w:r>
      <w:r>
        <w:rPr>
          <w:rFonts w:ascii="Times New Roman" w:hAnsi="Times New Roman"/>
          <w:b w:val="false"/>
          <w:i w:val="false"/>
          <w:color w:val="000000"/>
          <w:sz w:val="22"/>
        </w:rPr>
        <w:t>12 U.S.C. 5104(c)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Fails to acquire a valid state license or federal registration as a mortgage loan originator within three years from the last date of licensure or registration as a mortgage loan originator.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7.pdf" Type="http://schemas.openxmlformats.org/officeDocument/2006/relationships/hyperlink" Id="rId4"/>
    <Relationship TargetMode="External" Target="https://www.legis.iowa.gov/docs/ico/chapter/535D.8.pdf" Type="http://schemas.openxmlformats.org/officeDocument/2006/relationships/hyperlink" Id="rId5"/>
    <Relationship TargetMode="External" Target="https://www.legis.iowa.gov/docs/ico/chapter/535D.5.pdf" Type="http://schemas.openxmlformats.org/officeDocument/2006/relationships/hyperlink" Id="rId6"/>
    <Relationship TargetMode="External" Target="https://www.legis.iowa.gov/docs/ico/chapter/535B.pdf" Type="http://schemas.openxmlformats.org/officeDocument/2006/relationships/hyperlink" Id="rId7"/>
    <Relationship TargetMode="External" Target="https://www.legis.iowa.gov/docs/ico/chapter/535D.14.pdf" Type="http://schemas.openxmlformats.org/officeDocument/2006/relationships/hyperlink" Id="rId8"/>
    <Relationship TargetMode="External" Target="https://www.legis.iowa.gov/docs/ico/chapter/535B.pdf" Type="http://schemas.openxmlformats.org/officeDocument/2006/relationships/hyperlink" Id="rId9"/>
    <Relationship TargetMode="External" Target="https://www.legis.iowa.gov/docs/ico/chapter/536.pdf" Type="http://schemas.openxmlformats.org/officeDocument/2006/relationships/hyperlink" Id="rId10"/>
    <Relationship TargetMode="External" Target="https://www.legis.iowa.gov/docs/ico/chapter/536A.pdf" Type="http://schemas.openxmlformats.org/officeDocument/2006/relationships/hyperlink" Id="rId11"/>
    <Relationship TargetMode="External" Target="https://www.legis.iowa.gov/docs/ico/chapter/535D.14.pdf" Type="http://schemas.openxmlformats.org/officeDocument/2006/relationships/hyperlink" Id="rId12"/>
    <Relationship TargetMode="External" Target="https://www.legis.iowa.gov/docs/iac/rule/187.19.3.pdf" Type="http://schemas.openxmlformats.org/officeDocument/2006/relationships/hyperlink" Id="rId13"/>
    <Relationship TargetMode="External" Target="https://www.legis.iowa.gov/docs/iac/rule/187.19.3.pdf" Type="http://schemas.openxmlformats.org/officeDocument/2006/relationships/hyperlink" Id="rId14"/>
    <Relationship TargetMode="External" Target="https://www.legis.iowa.gov/docs/ico/chapter/535B.pdf" Type="http://schemas.openxmlformats.org/officeDocument/2006/relationships/hyperlink" Id="rId15"/>
    <Relationship TargetMode="External" Target="https://www.legis.iowa.gov/docs/ico/chapter/536.pdf" Type="http://schemas.openxmlformats.org/officeDocument/2006/relationships/hyperlink" Id="rId16"/>
    <Relationship TargetMode="External" Target="https://www.legis.iowa.gov/docs/ico/chapter/536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