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187—19.15</w:t>
      </w:r>
      <w:r>
        <w:rPr>
          <w:rFonts w:ascii="Times New Roman" w:hAnsi="Times New Roman"/>
          <w:b/>
          <w:i w:val="false"/>
          <w:color w:val="000000"/>
          <w:sz w:val="22"/>
        </w:rPr>
        <w:t xml:space="preserve">(17A,272D) </w:t>
      </w:r>
      <w:r>
        <w:rPr>
          <w:rFonts w:ascii="Times New Roman" w:hAnsi="Times New Roman"/>
          <w:b/>
          <w:i w:val="false"/>
          <w:color w:val="000000"/>
          <w:sz w:val="22"/>
        </w:rPr>
        <w:t xml:space="preserve">Nonpayment of state debt. </w:t>
      </w:r>
      <w:r>
        <w:rPr>
          <w:rFonts w:ascii="Times New Roman" w:hAnsi="Times New Roman"/>
          <w:b w:val="false"/>
          <w:i w:val="false"/>
          <w:color w:val="000000"/>
          <w:sz w:val="22"/>
        </w:rPr>
        <w:t xml:space="preserve">The superintendent shall deny the issuance or renewal of a mortgage loan originator license upon the receipt of a certificate of noncompliance from the centralized collection unit of the department of revenue according to the procedures in Iowa Code chapter </w:t>
      </w:r>
      <w:hyperlink r:id="rId4">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and the procedures set forth in this rule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5">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shall be served on the mortgage loan originator or applicant by restricted certified mail, return receipt requested, or personal service in accordance with the Iowa Rules of Civil Procedure. Alternatively, the mortgage loan originator or applicant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the denial of issuance or renewal of a license, as specified in the notice required by Iowa Code section </w:t>
      </w:r>
      <w:hyperlink r:id="rId6">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shall be 60 days following service of the notice upon the mortgage loan originator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19.15(3)</w:t>
      </w:r>
      <w:r>
        <w:rPr>
          <w:rFonts w:ascii="Times New Roman" w:hAnsi="Times New Roman"/>
          <w:b w:val="false"/>
          <w:i w:val="false"/>
          <w:color w:val="000000"/>
          <w:sz w:val="22"/>
        </w:rPr>
        <w:t> </w:t>
      </w:r>
      <w:r>
        <w:rPr>
          <w:rFonts w:ascii="Times New Roman" w:hAnsi="Times New Roman"/>
          <w:b w:val="false"/>
          <w:i w:val="false"/>
          <w:color w:val="000000"/>
          <w:sz w:val="22"/>
        </w:rPr>
        <w:t xml:space="preserve">Mortgage loan originators and applicants shall keep the superintendent informed of all court actions and all centralized collection unit actions taken under or in connection with Iowa Code chapter </w:t>
      </w:r>
      <w:hyperlink r:id="rId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provide the superintendent copies, within seven days of filing or issuance, of all applications filed with the district court pursuant to Iowa Code section </w:t>
      </w:r>
      <w:hyperlink r:id="rId8">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all court orders entered in such actions, and withdrawals of certificates of noncompliance by the centralized collection unit.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D.pdf" Type="http://schemas.openxmlformats.org/officeDocument/2006/relationships/hyperlink" Id="rId4"/>
    <Relationship TargetMode="External" Target="https://www.legis.iowa.gov/docs/ico/chapter/272D.8.pdf" Type="http://schemas.openxmlformats.org/officeDocument/2006/relationships/hyperlink" Id="rId5"/>
    <Relationship TargetMode="External" Target="https://www.legis.iowa.gov/docs/ico/chapter/272D.8.pdf" Type="http://schemas.openxmlformats.org/officeDocument/2006/relationships/hyperlink" Id="rId6"/>
    <Relationship TargetMode="External" Target="https://www.legis.iowa.gov/docs/ico/chapter/272D.pdf" Type="http://schemas.openxmlformats.org/officeDocument/2006/relationships/hyperlink" Id="rId7"/>
    <Relationship TargetMode="External" Target="https://www.legis.iowa.gov/docs/ico/chapter/272D.9.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272D.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