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187—19.14</w:t>
      </w:r>
      <w:r>
        <w:rPr>
          <w:rFonts w:ascii="Times New Roman" w:hAnsi="Times New Roman"/>
          <w:b/>
          <w:i w:val="false"/>
          <w:color w:val="000000"/>
          <w:sz w:val="22"/>
        </w:rPr>
        <w:t xml:space="preserve">(17A,252J) </w:t>
      </w:r>
      <w:r>
        <w:rPr>
          <w:rFonts w:ascii="Times New Roman" w:hAnsi="Times New Roman"/>
          <w:b/>
          <w:i w:val="false"/>
          <w:color w:val="000000"/>
          <w:sz w:val="22"/>
        </w:rPr>
        <w:t xml:space="preserve">Nonpayment of child support. </w:t>
      </w:r>
      <w:r>
        <w:rPr>
          <w:rFonts w:ascii="Times New Roman" w:hAnsi="Times New Roman"/>
          <w:b w:val="false"/>
          <w:i w:val="false"/>
          <w:color w:val="000000"/>
          <w:sz w:val="22"/>
        </w:rPr>
        <w:t xml:space="preserve">The superintendent shall deny the issuance or renewal of a mortgage loan originator license upon the receipt of a certificate of noncompliance from the child support recovery unit of the department of health and human services according to the procedures in Iowa Code chapter </w:t>
      </w:r>
      <w:hyperlink r:id="rId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and the procedures set forth in this rule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mortgage loan originator or applicant by restricted certified mail, return receipt requested, or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Alternatively, the mortgage loan originator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mortgage loan originator license, as specified in the notice required by Iowa Code section </w:t>
      </w:r>
      <w:hyperlink r:id="rId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is 60 days following service of the notice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loan originators and applicants shall keep the superintendent informed of all court actions and all child support recovery unit actions taken under or in connection with Iowa Code chapter </w:t>
      </w:r>
      <w:hyperlink r:id="rId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provide the superintendent copies, within seven days of filing or issuance, of all applications filed with the district court pursuant to Iowa Code section </w:t>
      </w:r>
      <w:hyperlink r:id="rId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a mortgage loan originator timely files a district court action following service of a superintendent notice pursuant to Iowa Code sections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superintendent shall continue with the intended action described in the notice upon the receipt of a court order lifting the stay, dismissing the action, or otherwise directing the superintendent to proceed. For purposes of determining the effective date of the denial of the issuance or renewal of a mortgage loan originator license, the superintendent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19.14(5)</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notify the mortgage loan originator or applicant in writing through regular first-class mail, or such other means as the superintendent deems appropriate in the circumstances, within ten days of the effective date of the denial of the issuance or renewal of a mortgage loan originator license and similarly notify the mortgage loan originator or applicant when the license is issued or renewed following the superintendent’s receipt of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pdf" Type="http://schemas.openxmlformats.org/officeDocument/2006/relationships/hyperlink" Id="rId4"/>
    <Relationship TargetMode="External" Target="https://www.legis.iowa.gov/docs/ico/chapter/252J.8.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co/chapter/252J.pdf" Type="http://schemas.openxmlformats.org/officeDocument/2006/relationships/hyperlink" Id="rId7"/>
    <Relationship TargetMode="External" Target="https://www.legis.iowa.gov/docs/ico/chapter/252J.9.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9.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52J.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