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187—19.11</w:t>
      </w:r>
      <w:r>
        <w:rPr>
          <w:rFonts w:ascii="Times New Roman" w:hAnsi="Times New Roman"/>
          <w:b/>
          <w:i w:val="false"/>
          <w:color w:val="000000"/>
          <w:sz w:val="22"/>
        </w:rPr>
        <w:t xml:space="preserve">(17A,535D) </w:t>
      </w:r>
      <w:r>
        <w:rPr>
          <w:rFonts w:ascii="Times New Roman" w:hAnsi="Times New Roman"/>
          <w:b/>
          <w:i w:val="false"/>
          <w:color w:val="000000"/>
          <w:sz w:val="22"/>
        </w:rPr>
        <w:t xml:space="preserve">NMLS information challenge process. </w:t>
      </w:r>
      <w:r>
        <w:rPr>
          <w:rFonts w:ascii="Times New Roman" w:hAnsi="Times New Roman"/>
          <w:b w:val="false"/>
          <w:i w:val="false"/>
          <w:color w:val="000000"/>
          <w:sz w:val="22"/>
        </w:rPr>
        <w:t>A mortgage loan originator may challenge information entered into NMLS by the superintendent by filing a dispute with the superintendent outlining the grounds for the dispute. The grounds for the dispute are limited to a review of the factual accuracy of the information regarding the mortgage loan originator’s license record submitted to NMLS by the superintendent. A mortgage loan originator cannot file a dispute to protest a disciplinary action taken by the superintendent or to appeal the underlying reasons for a disciplinary action. The superintendent shall conduct a paper review of the dispute and determine whether the information submitted to NMLS was factually correct and notify the mortgage loan originator of the determination within 60 days of the receipt of the dispute. If the superintendent determines the information submitted to NMLS is factually incorrect, the superintendent shall take prompt steps to correct the information submitted.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0591D</w:t>
      </w:r>
      <w:r>
        <w:rPr>
          <w:rFonts w:ascii="Times New Roman" w:hAnsi="Times New Roman"/>
          <w:b w:val="false"/>
          <w:i w:val="false"/>
          <w:color w:val="000000"/>
          <w:sz w:val="16"/>
        </w:rPr>
        <w:t>, IAB 9/16/26, effective 10/21/26</w:t>
      </w:r>
      <w:r>
        <w:rPr>
          <w:rFonts w:ascii="Times New Roman" w:hAnsi="Times New Roman"/>
          <w:b w:val="false"/>
          <w:i w:val="false"/>
          <w:color w:val="000000"/>
          <w:sz w:val="16"/>
        </w:rPr>
        <w:t>]</w:t>
      </w:r>
    </w:p>
    <w:sectPr>
      <w:footerReference r:id="rId4"/>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footer.xml" Type="http://schemas.openxmlformats.org/officeDocument/2006/relationships/footer" Id="rId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