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187—18.9</w:t>
      </w:r>
      <w:r>
        <w:rPr>
          <w:rFonts w:ascii="Times New Roman" w:hAnsi="Times New Roman"/>
          <w:b/>
          <w:i w:val="false"/>
          <w:color w:val="000000"/>
          <w:sz w:val="22"/>
        </w:rPr>
        <w:t xml:space="preserve">(17A,535B) </w:t>
      </w:r>
      <w:r>
        <w:rPr>
          <w:rFonts w:ascii="Times New Roman" w:hAnsi="Times New Roman"/>
          <w:b/>
          <w:i w:val="false"/>
          <w:color w:val="000000"/>
          <w:sz w:val="22"/>
        </w:rPr>
        <w:t xml:space="preserve">Licensee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18.9(1)</w:t>
      </w:r>
      <w:r>
        <w:rPr>
          <w:rFonts w:ascii="Times New Roman" w:hAnsi="Times New Roman"/>
          <w:b w:val="false"/>
          <w:i w:val="false"/>
          <w:color w:val="000000"/>
          <w:sz w:val="22"/>
        </w:rPr>
        <w:t> </w:t>
      </w:r>
      <w:r>
        <w:rPr>
          <w:rFonts w:ascii="Times New Roman" w:hAnsi="Times New Roman"/>
          <w:b w:val="false"/>
          <w:i/>
          <w:color w:val="000000"/>
          <w:sz w:val="22"/>
        </w:rPr>
        <w:t xml:space="preserve">General record requirements. </w:t>
      </w:r>
      <w:r>
        <w:rPr>
          <w:rFonts w:ascii="Times New Roman" w:hAnsi="Times New Roman"/>
          <w:b w:val="false"/>
          <w:i w:val="false"/>
          <w:color w:val="000000"/>
          <w:sz w:val="22"/>
        </w:rPr>
        <w:t>A licensee must keep records that allow the administrator to determine the licensee’s compliance with relevant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may keep the records as a hard copy or in an electronic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shall keep records for at least 36 months from the date of the final transaction with the borrower or a party in a real estate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shall maintain all books and records in good order and produce books and records for the administrator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obligation to maintain records continues even after the licensee ceases business operations in Iowa and turns in or surrenders its license. The owners and directors of the licensee are responsible for ensuring this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Mortgage bankers and mortgage brokers shall have the capability to provide information on the characteristics of loan originations as described in subrule </w:t>
      </w:r>
      <w:hyperlink r:id="rId4">
        <w:r>
          <w:rPr>
            <w:rStyle w:val="Hyperlink"/>
            <w:rFonts w:ascii="Times New Roman" w:hAnsi="Times New Roman"/>
            <w:b w:val="false"/>
            <w:i w:val="false"/>
            <w:color w:val="000000"/>
            <w:sz w:val="22"/>
          </w:rPr>
          <w:t>18.16(11)</w:t>
        </w:r>
      </w:hyperlink>
      <w:r>
        <w:rPr>
          <w:rFonts w:ascii="Times New Roman" w:hAnsi="Times New Roman"/>
          <w:b w:val="false"/>
          <w:i w:val="false"/>
          <w:color w:val="000000"/>
          <w:sz w:val="22"/>
        </w:rPr>
        <w:t xml:space="preserve"> in an electronic format prescribed by the administrator within 30 days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end of each calendar quarter or some other regular interval determined by the administrator;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Notice from the administrator in the case of an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18.9(2)</w:t>
      </w:r>
      <w:r>
        <w:rPr>
          <w:rFonts w:ascii="Times New Roman" w:hAnsi="Times New Roman"/>
          <w:b w:val="false"/>
          <w:i w:val="false"/>
          <w:color w:val="000000"/>
          <w:sz w:val="22"/>
        </w:rPr>
        <w:t> </w:t>
      </w:r>
      <w:r>
        <w:rPr>
          <w:rFonts w:ascii="Times New Roman" w:hAnsi="Times New Roman"/>
          <w:b w:val="false"/>
          <w:i/>
          <w:color w:val="000000"/>
          <w:sz w:val="22"/>
        </w:rPr>
        <w:t xml:space="preserve">Required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mortgage broker shall keep an index, application log, and application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mortgage banker shall keep an index, application log, application files, loan register, and loan files. A mortgage banker who services loans must also keep account ledgers. A mortgage banker who only services loans needs to keep only an index, a loan register, loan files, and account ledgers.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closing agent shall keep the general business records outlined in subrule </w:t>
      </w:r>
      <w:hyperlink r:id="rId5">
        <w:r>
          <w:rPr>
            <w:rStyle w:val="Hyperlink"/>
            <w:rFonts w:ascii="Times New Roman" w:hAnsi="Times New Roman"/>
            <w:b w:val="false"/>
            <w:i w:val="false"/>
            <w:color w:val="000000"/>
            <w:sz w:val="22"/>
          </w:rPr>
          <w:t>18.9(9)</w:t>
        </w:r>
      </w:hyperlink>
      <w:r>
        <w:rPr>
          <w:rFonts w:ascii="Times New Roman" w:hAnsi="Times New Roman"/>
          <w:b w:val="false"/>
          <w:i w:val="false"/>
          <w:color w:val="000000"/>
          <w:sz w:val="22"/>
        </w:rPr>
        <w:t xml:space="preserve"> and the following records relating to individual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closing register containing the information outlined in subrule </w:t>
      </w:r>
      <w:hyperlink r:id="rId6">
        <w:r>
          <w:rPr>
            <w:rStyle w:val="Hyperlink"/>
            <w:rFonts w:ascii="Times New Roman" w:hAnsi="Times New Roman"/>
            <w:b w:val="false"/>
            <w:i w:val="false"/>
            <w:color w:val="000000"/>
            <w:sz w:val="22"/>
          </w:rPr>
          <w:t>18.15(5)</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closing file containing the information outlined in subrule </w:t>
      </w:r>
      <w:hyperlink r:id="rId7">
        <w:r>
          <w:rPr>
            <w:rStyle w:val="Hyperlink"/>
            <w:rFonts w:ascii="Times New Roman" w:hAnsi="Times New Roman"/>
            <w:b w:val="false"/>
            <w:i w:val="false"/>
            <w:color w:val="000000"/>
            <w:sz w:val="22"/>
          </w:rPr>
          <w:t>18.15(6)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18.9(3)</w:t>
      </w:r>
      <w:r>
        <w:rPr>
          <w:rFonts w:ascii="Times New Roman" w:hAnsi="Times New Roman"/>
          <w:b w:val="false"/>
          <w:i w:val="false"/>
          <w:color w:val="000000"/>
          <w:sz w:val="22"/>
        </w:rPr>
        <w:t> </w:t>
      </w:r>
      <w:r>
        <w:rPr>
          <w:rFonts w:ascii="Times New Roman" w:hAnsi="Times New Roman"/>
          <w:b w:val="false"/>
          <w:i/>
          <w:color w:val="000000"/>
          <w:sz w:val="22"/>
        </w:rPr>
        <w:t xml:space="preserve">Index. </w:t>
      </w:r>
      <w:r>
        <w:rPr>
          <w:rFonts w:ascii="Times New Roman" w:hAnsi="Times New Roman"/>
          <w:b w:val="false"/>
          <w:i w:val="false"/>
          <w:color w:val="000000"/>
          <w:sz w:val="22"/>
        </w:rPr>
        <w:t>An alphabetical record shall be maintained and show the name of each borrower, endorser, comaker, or surety who is indebted to the lender and the account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18.9(4)</w:t>
      </w:r>
      <w:r>
        <w:rPr>
          <w:rFonts w:ascii="Times New Roman" w:hAnsi="Times New Roman"/>
          <w:b w:val="false"/>
          <w:i w:val="false"/>
          <w:color w:val="000000"/>
          <w:sz w:val="22"/>
        </w:rPr>
        <w:t> </w:t>
      </w:r>
      <w:r>
        <w:rPr>
          <w:rFonts w:ascii="Times New Roman" w:hAnsi="Times New Roman"/>
          <w:b w:val="false"/>
          <w:i/>
          <w:color w:val="000000"/>
          <w:sz w:val="22"/>
        </w:rPr>
        <w:t xml:space="preserve">Application log. </w:t>
      </w:r>
      <w:r>
        <w:rPr>
          <w:rFonts w:ascii="Times New Roman" w:hAnsi="Times New Roman"/>
          <w:b w:val="false"/>
          <w:i w:val="false"/>
          <w:color w:val="000000"/>
          <w:sz w:val="22"/>
        </w:rPr>
        <w:t>The application log is a chronological list of residential mortgage loan applications received. The application log shall include the name of the applicant; date the residential mortgage loan application was completed; name of the broker, the lender, and the mortgage loan originator, as applicable, including the unique NMLS identification number assigned to each; notes for action taken on residential mortgage loan application; and date of action. For approved residential mortgage loan applications, the application log shall show the date the loan closed and the name of the lender. Information from an applicant becomes a residential mortgage loan application when the licensee obtains the name and social security number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18.9(5)</w:t>
      </w:r>
      <w:r>
        <w:rPr>
          <w:rFonts w:ascii="Times New Roman" w:hAnsi="Times New Roman"/>
          <w:b w:val="false"/>
          <w:i w:val="false"/>
          <w:color w:val="000000"/>
          <w:sz w:val="22"/>
        </w:rPr>
        <w:t> </w:t>
      </w:r>
      <w:r>
        <w:rPr>
          <w:rFonts w:ascii="Times New Roman" w:hAnsi="Times New Roman"/>
          <w:b w:val="false"/>
          <w:i/>
          <w:color w:val="000000"/>
          <w:sz w:val="22"/>
        </w:rPr>
        <w:t xml:space="preserve">Loan register. </w:t>
      </w:r>
      <w:r>
        <w:rPr>
          <w:rFonts w:ascii="Times New Roman" w:hAnsi="Times New Roman"/>
          <w:b w:val="false"/>
          <w:i w:val="false"/>
          <w:color w:val="000000"/>
          <w:sz w:val="22"/>
        </w:rPr>
        <w:t>The loan register shall be kept chronologically in the order the loans closed and include the following information for every loan that is made: the date of the transaction; the name of the borrower; the name of the broker, the lender, the mortgage loan originator, and the closing agent, as applicable, including the unique NMLS identification number assigned to each; and the amount financed. A licensee may combine the loan register with the application log.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18.9(6)</w:t>
      </w:r>
      <w:r>
        <w:rPr>
          <w:rFonts w:ascii="Times New Roman" w:hAnsi="Times New Roman"/>
          <w:b w:val="false"/>
          <w:i w:val="false"/>
          <w:color w:val="000000"/>
          <w:sz w:val="22"/>
        </w:rPr>
        <w:t> </w:t>
      </w:r>
      <w:r>
        <w:rPr>
          <w:rFonts w:ascii="Times New Roman" w:hAnsi="Times New Roman"/>
          <w:b w:val="false"/>
          <w:i/>
          <w:color w:val="000000"/>
          <w:sz w:val="22"/>
        </w:rPr>
        <w:t xml:space="preserve">Application file. </w:t>
      </w:r>
      <w:r>
        <w:rPr>
          <w:rFonts w:ascii="Times New Roman" w:hAnsi="Times New Roman"/>
          <w:b w:val="false"/>
          <w:i w:val="false"/>
          <w:color w:val="000000"/>
          <w:sz w:val="22"/>
        </w:rPr>
        <w:t>A mortgage banker or mortgage broker licensee shall maintain an application file for each residential mortgage loan application received that contains copies of the residential mortgage loan application and any required disclosures. A copy of any adverse action taken on the residential mortgage loan application, including any documentation supporting that action shall also be placed in the application file. The application file shall also contain the name of the broker, the lender, and the mortgage loan originator, as applicable, including the unique NMLS identification number assigned to each.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18.9(7)</w:t>
      </w:r>
      <w:r>
        <w:rPr>
          <w:rFonts w:ascii="Times New Roman" w:hAnsi="Times New Roman"/>
          <w:b w:val="false"/>
          <w:i w:val="false"/>
          <w:color w:val="000000"/>
          <w:sz w:val="22"/>
        </w:rPr>
        <w:t> </w:t>
      </w:r>
      <w:r>
        <w:rPr>
          <w:rFonts w:ascii="Times New Roman" w:hAnsi="Times New Roman"/>
          <w:b w:val="false"/>
          <w:i/>
          <w:color w:val="000000"/>
          <w:sz w:val="22"/>
        </w:rPr>
        <w:t xml:space="preserve">Loan file. </w:t>
      </w:r>
      <w:r>
        <w:rPr>
          <w:rFonts w:ascii="Times New Roman" w:hAnsi="Times New Roman"/>
          <w:b w:val="false"/>
          <w:i w:val="false"/>
          <w:color w:val="000000"/>
          <w:sz w:val="22"/>
        </w:rPr>
        <w:t xml:space="preserve">The loan file consists of the application file, the appraisal report, underwriting verifications, the closing file described in subrule </w:t>
      </w:r>
      <w:hyperlink r:id="rId8">
        <w:r>
          <w:rPr>
            <w:rStyle w:val="Hyperlink"/>
            <w:rFonts w:ascii="Times New Roman" w:hAnsi="Times New Roman"/>
            <w:b w:val="false"/>
            <w:i w:val="false"/>
            <w:color w:val="000000"/>
            <w:sz w:val="22"/>
          </w:rPr>
          <w:t>18.15(6)</w:t>
        </w:r>
      </w:hyperlink>
      <w:r>
        <w:rPr>
          <w:rFonts w:ascii="Times New Roman" w:hAnsi="Times New Roman"/>
          <w:b w:val="false"/>
          <w:i w:val="false"/>
          <w:color w:val="000000"/>
          <w:sz w:val="22"/>
        </w:rPr>
        <w:t xml:space="preserve"> including other supporting documentation, and documents from the loan closing. These documents include: note, mortgage, all Truth-In-Lending Act disclosures, and all Real Estate Settlement Procedures Act disclosures. The loan file shall also contain the name of the broker, the lender, the mortgage loan originator, and the closing agent, as applicable, including the unique NMLS identification number assigned to each.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18.9(8)</w:t>
      </w:r>
      <w:r>
        <w:rPr>
          <w:rFonts w:ascii="Times New Roman" w:hAnsi="Times New Roman"/>
          <w:b w:val="false"/>
          <w:i w:val="false"/>
          <w:color w:val="000000"/>
          <w:sz w:val="22"/>
        </w:rPr>
        <w:t> </w:t>
      </w:r>
      <w:r>
        <w:rPr>
          <w:rFonts w:ascii="Times New Roman" w:hAnsi="Times New Roman"/>
          <w:b w:val="false"/>
          <w:i/>
          <w:color w:val="000000"/>
          <w:sz w:val="22"/>
        </w:rPr>
        <w:t xml:space="preserve">Account ledger. </w:t>
      </w:r>
      <w:r>
        <w:rPr>
          <w:rFonts w:ascii="Times New Roman" w:hAnsi="Times New Roman"/>
          <w:b w:val="false"/>
          <w:i w:val="false"/>
          <w:color w:val="000000"/>
          <w:sz w:val="22"/>
        </w:rPr>
        <w:t>A mortgage banker licensee shall maintain an account ledger for each loan that is serviced, which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borrower, loan number, loan date, payment terms, maturity date, principal amount of loan, amount financed, total of payments, property listed as security, and distribution of the loan proceeds.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transaction history that lists all transactions with the borrower. Payments shall be posted to the account ledger effective the date payments were received. Payment entries will show the date payment was received, the total amount of the payment, and a description of how the payment was applied to the borrower’s account. Other transactions shall be fully described. Corrections to the transaction history shall be made by corrective entry and not by erasure.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remaining balances due from the borrower, including principal, escrow, late fees, and other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change to the interest rate and the effective date of that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Full descriptions of payments made outside the normal course of business, including payments made by the sale of security, insurance claim, or endorser. For any payments made by death claims on credit insurance, the date of death shall be noted in the account ledger.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 loan is prepaid in full, the dates and amounts of any rebates made to the borrower including escrow rebates and the refunds of unearned insurance premiums.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18.9(9)</w:t>
      </w:r>
      <w:r>
        <w:rPr>
          <w:rFonts w:ascii="Times New Roman" w:hAnsi="Times New Roman"/>
          <w:b w:val="false"/>
          <w:i w:val="false"/>
          <w:color w:val="000000"/>
          <w:sz w:val="22"/>
        </w:rPr>
        <w:t> </w:t>
      </w:r>
      <w:r>
        <w:rPr>
          <w:rFonts w:ascii="Times New Roman" w:hAnsi="Times New Roman"/>
          <w:b w:val="false"/>
          <w:i/>
          <w:color w:val="000000"/>
          <w:sz w:val="22"/>
        </w:rPr>
        <w:t xml:space="preserve">General business records. </w:t>
      </w:r>
      <w:r>
        <w:rPr>
          <w:rFonts w:ascii="Times New Roman" w:hAnsi="Times New Roman"/>
          <w:b w:val="false"/>
          <w:i w:val="false"/>
          <w:color w:val="000000"/>
          <w:sz w:val="22"/>
        </w:rPr>
        <w:t>A licensee must keep the following general business records for at least 36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checkbooks, check registers, bank statements, deposit slips, withdrawal slips, and canceled checks (or copies thereof) relating to the business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records (including invoices and supporting documentation) for all expenses and fees paid on behalf of each mortgage applicant, including a record of the date and amount of all such payments actually made by each mortgage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all federal tax withholding forms, reports of income for federal taxation, and evidence of payments to all employees, independent contractors, and others compensated by a licensee in connection with the conduct of the mortgage lending or real estate closing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correspondence and other records relating to the maintenance of any bond required by Iowa Code chapter </w:t>
      </w:r>
      <w:hyperlink r:id="rId9">
        <w:r>
          <w:rPr>
            <w:rStyle w:val="Hyperlink"/>
            <w:rFonts w:ascii="Times New Roman" w:hAnsi="Times New Roman"/>
            <w:b w:val="false"/>
            <w:i w:val="false"/>
            <w:color w:val="000000"/>
            <w:sz w:val="22"/>
          </w:rPr>
          <w:t>535B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Copies of all contractual arrangements or understandings with third parties in any way relating to the provision of mortgage lending services or real estate closing services, including but not limited to any delegations of underwriting authority, any agreements for pricing of goods or services, any investor contracts, any employment agreements, and any noncompete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Copies of all reports of audits, examinations, inspections, reviews, investigations, or other similar functions performed by any third party, including but not limited to the administrator or any other regulatory or supervisory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Copies of all advertisements and solicitations concerning mortgage business directed at Iowa residents, including advertisements and solicitations on the internet or by other electronic means, in the format in which the advertisements and solicitations were published or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18.9(10)</w:t>
      </w:r>
      <w:r>
        <w:rPr>
          <w:rFonts w:ascii="Times New Roman" w:hAnsi="Times New Roman"/>
          <w:b w:val="false"/>
          <w:i w:val="false"/>
          <w:color w:val="000000"/>
          <w:sz w:val="22"/>
        </w:rPr>
        <w:t> </w:t>
      </w:r>
      <w:r>
        <w:rPr>
          <w:rFonts w:ascii="Times New Roman" w:hAnsi="Times New Roman"/>
          <w:b w:val="false"/>
          <w:i/>
          <w:color w:val="000000"/>
          <w:sz w:val="22"/>
        </w:rPr>
        <w:t xml:space="preserve">Disposal of records. </w:t>
      </w:r>
      <w:r>
        <w:rPr>
          <w:rFonts w:ascii="Times New Roman" w:hAnsi="Times New Roman"/>
          <w:b w:val="false"/>
          <w:i w:val="false"/>
          <w:color w:val="000000"/>
          <w:sz w:val="22"/>
        </w:rPr>
        <w:t xml:space="preserve">If the licensee or former licensee disposes of records at the end of the retention period, the licensee or former licensee shall dispose of the records in a reasonable manner that safeguards any identification information, as defined in Iowa Code section </w:t>
      </w:r>
      <w:hyperlink r:id="rId10">
        <w:r>
          <w:rPr>
            <w:rStyle w:val="Hyperlink"/>
            <w:rFonts w:ascii="Times New Roman" w:hAnsi="Times New Roman"/>
            <w:b w:val="false"/>
            <w:i w:val="false"/>
            <w:color w:val="000000"/>
            <w:sz w:val="22"/>
          </w:rPr>
          <w:t>715A.8(1)</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owners and directors of licensees and former licensees are responsible for ensuring this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18.9(11)</w:t>
      </w:r>
      <w:r>
        <w:rPr>
          <w:rFonts w:ascii="Times New Roman" w:hAnsi="Times New Roman"/>
          <w:b w:val="false"/>
          <w:i w:val="false"/>
          <w:color w:val="000000"/>
          <w:sz w:val="22"/>
        </w:rPr>
        <w:t> </w:t>
      </w:r>
      <w:r>
        <w:rPr>
          <w:rFonts w:ascii="Times New Roman" w:hAnsi="Times New Roman"/>
          <w:b w:val="false"/>
          <w:i/>
          <w:color w:val="000000"/>
          <w:sz w:val="22"/>
        </w:rPr>
        <w:t xml:space="preserve">Loan records required to be maintained electronically.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Mortgage bankers and mortgage brokers shall maintain the following records electronically in a format prescribed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sufficient to identify the mortgage loan and the unique identifier of the mortgage loan originator, the mortgage broker (if applicable), and the lender for the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sufficient to enable a computation of key items in the federal truth-in-lending disclosures, including the annual percentage rate, the finance charge, and a schedule of payments, and any deviations between the final disclosures and the most recent disclosures issued prior to the final disclosures.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included in the initial disclosure required under the federal Real Estate Settlement Procedures Act, including the rate, the date of any interest rate lock, and an itemization of settlement charges and all broker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Information included in the final closing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Information related to the terms of each loan, including adjustable rate loan features (including timing of adjustments, indices used in setting rates, maximum and minimum adjustments, floors and ceilings of adjustments), the undiscounted interest rate (if maintained by the lender in an electronic format), penalties for late payments, and penalties for prepayment (including computation of the penalty amount, the duration of prepayment penalty, and the maximum amount of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Information typically used in underwriting, including the appraised value of the property, the sales price of the property (if a purchase loan), each borrower’s income, the monthly payment amount, the housing debt-to-income ratio, the total debt-to-income ratio, and the credit score of each borrower.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Information included in a Loan Application Register for mortgage lenders required to submit information pursuant to the federal Home Mortgage Disclosure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Mortgage brokers shall provide information identified in paragraph </w:t>
      </w:r>
      <w:hyperlink r:id="rId11">
        <w:r>
          <w:rPr>
            <w:rStyle w:val="Hyperlink"/>
            <w:rFonts w:ascii="Times New Roman" w:hAnsi="Times New Roman"/>
            <w:b w:val="false"/>
            <w:i w:val="false"/>
            <w:color w:val="000000"/>
            <w:sz w:val="22"/>
          </w:rPr>
          <w:t>18.16(11)</w:t>
        </w:r>
      </w:hyperlink>
      <w:r>
        <w:rPr>
          <w:rFonts w:ascii="Times New Roman" w:hAnsi="Times New Roman"/>
          <w:b w:val="false"/>
          <w:i/>
          <w:color w:val="000000"/>
          <w:sz w:val="22"/>
        </w:rPr>
        <w:t>“a”</w:t>
      </w:r>
      <w:r>
        <w:rPr>
          <w:rFonts w:ascii="Times New Roman" w:hAnsi="Times New Roman"/>
          <w:b w:val="false"/>
          <w:i w:val="false"/>
          <w:color w:val="000000"/>
          <w:sz w:val="22"/>
        </w:rPr>
        <w:t xml:space="preserve"> unless such information is not prepared or known by the mortgage broker and the mortgage broker does not reasonably have access to the information in an electronic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permit mortgage bankers and mortgage brokers to utilize compatible third-party software to provide information required under this subrule.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0590D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87.18.16.pdf" Type="http://schemas.openxmlformats.org/officeDocument/2006/relationships/hyperlink" Id="rId4"/>
    <Relationship TargetMode="External" Target="https://www.legis.iowa.gov/docs/iac/rule/187.18.9.pdf" Type="http://schemas.openxmlformats.org/officeDocument/2006/relationships/hyperlink" Id="rId5"/>
    <Relationship TargetMode="External" Target="https://www.legis.iowa.gov/docs/iac/rule/187.18.15.pdf" Type="http://schemas.openxmlformats.org/officeDocument/2006/relationships/hyperlink" Id="rId6"/>
    <Relationship TargetMode="External" Target="https://www.legis.iowa.gov/docs/iac/rule/187.18.15.pdf" Type="http://schemas.openxmlformats.org/officeDocument/2006/relationships/hyperlink" Id="rId7"/>
    <Relationship TargetMode="External" Target="https://www.legis.iowa.gov/docs/iac/rule/187.18.15.pdf" Type="http://schemas.openxmlformats.org/officeDocument/2006/relationships/hyperlink" Id="rId8"/>
    <Relationship TargetMode="External" Target="https://www.legis.iowa.gov/docs/ico/chapter/535B.pdf" Type="http://schemas.openxmlformats.org/officeDocument/2006/relationships/hyperlink" Id="rId9"/>
    <Relationship TargetMode="External" Target="https://www.legis.iowa.gov/docs/ico/chapter/715A.8.pdf" Type="http://schemas.openxmlformats.org/officeDocument/2006/relationships/hyperlink" Id="rId10"/>
    <Relationship TargetMode="External" Target="https://www.legis.iowa.gov/docs/iac/rule/187.18.16.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