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187—18.7</w:t>
      </w:r>
      <w:r>
        <w:rPr>
          <w:rFonts w:ascii="Times New Roman" w:hAnsi="Times New Roman"/>
          <w:b/>
          <w:i w:val="false"/>
          <w:color w:val="000000"/>
          <w:sz w:val="22"/>
        </w:rPr>
        <w:t xml:space="preserve">(17A,535B)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A licensee shall notify the administrator in writing within ten days of the occurrence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18.7(1)</w:t>
      </w:r>
      <w:r>
        <w:rPr>
          <w:rFonts w:ascii="Times New Roman" w:hAnsi="Times New Roman"/>
          <w:b w:val="false"/>
          <w:i w:val="false"/>
          <w:color w:val="000000"/>
          <w:sz w:val="22"/>
        </w:rPr>
        <w:t> </w:t>
      </w:r>
      <w:r>
        <w:rPr>
          <w:rFonts w:ascii="Times New Roman" w:hAnsi="Times New Roman"/>
          <w:b w:val="false"/>
          <w:i w:val="false"/>
          <w:color w:val="000000"/>
          <w:sz w:val="22"/>
        </w:rPr>
        <w:t>The licensee or any of the licensee’s officers, directors, principal stockholders, or affiliates file for bankruptcy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18.7(2)</w:t>
      </w:r>
      <w:r>
        <w:rPr>
          <w:rFonts w:ascii="Times New Roman" w:hAnsi="Times New Roman"/>
          <w:b w:val="false"/>
          <w:i w:val="false"/>
          <w:color w:val="000000"/>
          <w:sz w:val="22"/>
        </w:rPr>
        <w:t> </w:t>
      </w:r>
      <w:r>
        <w:rPr>
          <w:rFonts w:ascii="Times New Roman" w:hAnsi="Times New Roman"/>
          <w:b w:val="false"/>
          <w:i w:val="false"/>
          <w:color w:val="000000"/>
          <w:sz w:val="22"/>
        </w:rPr>
        <w:t>A prosecuting authority files criminal charges against the licensee or any of a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18.7(3)</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institutes license denial, cease and desist, suspension or revocation procedures or other formal or informal regulatory action against the licensee or any of the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18.7(4)</w:t>
      </w:r>
      <w:r>
        <w:rPr>
          <w:rFonts w:ascii="Times New Roman" w:hAnsi="Times New Roman"/>
          <w:b w:val="false"/>
          <w:i w:val="false"/>
          <w:color w:val="000000"/>
          <w:sz w:val="22"/>
        </w:rPr>
        <w:t> </w:t>
      </w:r>
      <w:r>
        <w:rPr>
          <w:rFonts w:ascii="Times New Roman" w:hAnsi="Times New Roman"/>
          <w:b w:val="false"/>
          <w:i w:val="false"/>
          <w:color w:val="000000"/>
          <w:sz w:val="22"/>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mortgage loan originators, employees,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18.7(5)</w:t>
      </w:r>
      <w:r>
        <w:rPr>
          <w:rFonts w:ascii="Times New Roman" w:hAnsi="Times New Roman"/>
          <w:b w:val="false"/>
          <w:i w:val="false"/>
          <w:color w:val="000000"/>
          <w:sz w:val="22"/>
        </w:rPr>
        <w:t> </w:t>
      </w:r>
      <w:r>
        <w:rPr>
          <w:rFonts w:ascii="Times New Roman" w:hAnsi="Times New Roman"/>
          <w:b w:val="false"/>
          <w:i w:val="false"/>
          <w:color w:val="000000"/>
          <w:sz w:val="22"/>
        </w:rPr>
        <w:t>The Federal National Mortgage Association, Federal Home Loan Mortgage Corporation, Federal Housing Administration, or Government National Mortgage Association suspends or terminates the licensee’s status as an approved seller or seller/servicer.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