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187—18.6</w:t>
      </w:r>
      <w:r>
        <w:rPr>
          <w:rFonts w:ascii="Times New Roman" w:hAnsi="Times New Roman"/>
          <w:b/>
          <w:i w:val="false"/>
          <w:color w:val="000000"/>
          <w:sz w:val="22"/>
        </w:rPr>
        <w:t xml:space="preserve">(17A,535B) </w:t>
      </w:r>
      <w:r>
        <w:rPr>
          <w:rFonts w:ascii="Times New Roman" w:hAnsi="Times New Roman"/>
          <w:b/>
          <w:i w:val="false"/>
          <w:color w:val="000000"/>
          <w:sz w:val="22"/>
        </w:rPr>
        <w:t xml:space="preserve">Changes in the licensee’s name, location, or control;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administrator through NMLS of a change in the location, the addition, or the closing of any office prior to the change, addition, or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val="false"/>
          <w:color w:val="000000"/>
          <w:sz w:val="22"/>
        </w:rPr>
        <w:t>A mortgage banker or mortgage broker licensee shall maintain on file with the administrator, through NMLS, a list of all mortgage loan originators who are employed by, under contract with, or exclusive agents of the licensee and pay any fees assessed by NMLS to add a mortgage loan originator to the licensee’s list in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val="false"/>
          <w:color w:val="000000"/>
          <w:sz w:val="22"/>
        </w:rPr>
        <w:t>When a mortgage loan originator ceases to be employed by, under contract with, or an exclusive agent of a mortgage banker or mortgage broker licensee, the licensee shall notify the administrator, through NMLS, within ten days and include the reasons for the termination of the mortgage loan originator’s employment, contract, or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val="false"/>
          <w:color w:val="000000"/>
          <w:sz w:val="22"/>
        </w:rPr>
        <w:t>A mortgage banker or mortgage broker licensee shall notify the administrator through NMLS of the addition of any mortgage loan originator, owner, officer, partner, or director within ten days of addition.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4">
        <w:r>
          <w:rPr>
            <w:rStyle w:val="Hyperlink"/>
            <w:rFonts w:ascii="Times New Roman" w:hAnsi="Times New Roman"/>
            <w:b w:val="false"/>
            <w:i w:val="false"/>
            <w:color w:val="000000"/>
            <w:sz w:val="22"/>
          </w:rPr>
          <w:t>535B.5</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187—18.4</w:t>
        </w:r>
      </w:hyperlink>
      <w:r>
        <w:rPr>
          <w:rFonts w:ascii="Times New Roman" w:hAnsi="Times New Roman"/>
          <w:b w:val="false"/>
          <w:i w:val="false"/>
          <w:color w:val="000000"/>
          <w:sz w:val="22"/>
        </w:rPr>
        <w:t>(17A,535B).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B.5.pdf" Type="http://schemas.openxmlformats.org/officeDocument/2006/relationships/hyperlink" Id="rId4"/>
    <Relationship TargetMode="External" Target="https://www.legis.iowa.gov/docs/iac/rule/187.18.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