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187—18.3</w:t>
      </w:r>
      <w:r>
        <w:rPr>
          <w:rFonts w:ascii="Times New Roman" w:hAnsi="Times New Roman"/>
          <w:b/>
          <w:i w:val="false"/>
          <w:color w:val="000000"/>
          <w:sz w:val="22"/>
        </w:rPr>
        <w:t xml:space="preserve">(17A,535B)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operate as a mortgage banker, mortgage broker, or closing agent shall be submitted to the administrator, on the form provided and with the information requested, through NMLS. The administrator may consider an application or registration withdrawn if the application or registration does not contain all required information and the information is not submitted to the administrator within 30 days after the administrator requests the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val="false"/>
          <w:color w:val="000000"/>
          <w:sz w:val="22"/>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the application fee specified in Iowa Code section </w:t>
      </w:r>
      <w:hyperlink r:id="rId4">
        <w:r>
          <w:rPr>
            <w:rStyle w:val="Hyperlink"/>
            <w:rFonts w:ascii="Times New Roman" w:hAnsi="Times New Roman"/>
            <w:b w:val="false"/>
            <w:i w:val="false"/>
            <w:color w:val="000000"/>
            <w:sz w:val="22"/>
          </w:rPr>
          <w:t>535B.4(10)</w:t>
        </w:r>
      </w:hyperlink>
      <w:r>
        <w:rPr>
          <w:rFonts w:ascii="Times New Roman" w:hAnsi="Times New Roman"/>
          <w:b w:val="false"/>
          <w:i w:val="false"/>
          <w:color w:val="000000"/>
          <w:sz w:val="22"/>
        </w:rPr>
        <w:t xml:space="preserve"> plus $40 per additional branch location, but the application fee is not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18.3(4)</w:t>
      </w:r>
      <w:r>
        <w:rPr>
          <w:rFonts w:ascii="Times New Roman" w:hAnsi="Times New Roman"/>
          <w:b w:val="false"/>
          <w:i w:val="false"/>
          <w:color w:val="000000"/>
          <w:sz w:val="22"/>
        </w:rPr>
        <w:t> </w:t>
      </w:r>
      <w:r>
        <w:rPr>
          <w:rFonts w:ascii="Times New Roman" w:hAnsi="Times New Roman"/>
          <w:b w:val="false"/>
          <w:i w:val="false"/>
          <w:color w:val="000000"/>
          <w:sz w:val="22"/>
        </w:rPr>
        <w:t>If any information material to the application changes after the filing of the initial application, the applicant shall provide updated information to the administrator in writing within ten days of the change. Failure to provide updated information when a change has occurred may result in denial of the application.</w:t>
      </w:r>
    </w:p>
    <w:p>
      <w:pPr>
        <w:spacing w:before="0" w:after="0"/>
        <w:ind w:left="120"/>
        <w:jc w:val="both"/>
      </w:pPr>
      <w:r>
        <w:rPr>
          <w:rFonts w:ascii="Times New Roman" w:hAnsi="Times New Roman"/>
          <w:b/>
          <w:i w:val="false"/>
          <w:color w:val="000000"/>
          <w:sz w:val="22"/>
        </w:rPr>
        <w:t>18.3(5)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mortgage banker or mortgage broker license must file with the administrator a bond complying with the provisions of Iowa Code section </w:t>
      </w:r>
      <w:hyperlink r:id="rId5">
        <w:r>
          <w:rPr>
            <w:rStyle w:val="Hyperlink"/>
            <w:rFonts w:ascii="Times New Roman" w:hAnsi="Times New Roman"/>
            <w:b w:val="false"/>
            <w:i w:val="false"/>
            <w:color w:val="000000"/>
            <w:sz w:val="22"/>
          </w:rPr>
          <w:t>535B.9</w:t>
        </w:r>
      </w:hyperlink>
      <w:r>
        <w:rPr>
          <w:rFonts w:ascii="Times New Roman" w:hAnsi="Times New Roman"/>
          <w:b w:val="false"/>
          <w:i w:val="false"/>
          <w:color w:val="000000"/>
          <w:sz w:val="22"/>
        </w:rPr>
        <w:t>. The bond amount required to be filed and maintained by the applicant shall be set and adjusted as necessary annually in accordance with the following scale, based on the volume of residential mortgage loans made, originated, arranged, brokered, processed, underwritten, and serviced by the applicant or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5436"/>
        <w:gridCol w:w="3516"/>
      </w:tblGrid>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Loans</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Bond Amount</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$150,000</w:t>
            </w:r>
          </w:p>
        </w:tc>
      </w:tr>
    </w:tbl>
    <w:p>
      <w:pPr>
        <w:spacing w:before="0" w:after="0"/>
        <w:ind w:left="120"/>
        <w:jc w:val="both"/>
      </w:pPr>
      <w:r>
        <w:rPr>
          <w:rFonts w:ascii="Times New Roman" w:hAnsi="Times New Roman"/>
          <w:b w:val="false"/>
          <w:i w:val="false"/>
          <w:color w:val="000000"/>
          <w:sz w:val="22"/>
        </w:rPr>
        <w:t xml:space="preserve">An applicant for a closing agent license must file with the administrator a bond in the amount of $25,000, which complies with the provisions of Iowa Code section </w:t>
      </w:r>
      <w:hyperlink r:id="rId6">
        <w:r>
          <w:rPr>
            <w:rStyle w:val="Hyperlink"/>
            <w:rFonts w:ascii="Times New Roman" w:hAnsi="Times New Roman"/>
            <w:b w:val="false"/>
            <w:i w:val="false"/>
            <w:color w:val="000000"/>
            <w:sz w:val="22"/>
          </w:rPr>
          <w:t>535B.9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5B.4.pdf" Type="http://schemas.openxmlformats.org/officeDocument/2006/relationships/hyperlink" Id="rId4"/>
    <Relationship TargetMode="External" Target="https://www.legis.iowa.gov/docs/ico/chapter/535B.9.pdf" Type="http://schemas.openxmlformats.org/officeDocument/2006/relationships/hyperlink" Id="rId5"/>
    <Relationship TargetMode="External" Target="https://www.legis.iowa.gov/docs/ico/chapter/535B.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