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Utilization of NMLS.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application and licensing information shall be submitted through NMLS, including but not limited to the following: original application information; changes in application information; license renewal information; changes in name, location, and control; and notices of significant events.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or licensee shall pay any fees required by NMLS, including but not limited to the following: initial set-up fee and annual processing fees, background check fees, credit background check fees, and a loan sponsorship transfer fee.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