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187—18.18</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Real estate brokers. </w:t>
      </w:r>
      <w:r>
        <w:rPr>
          <w:rFonts w:ascii="Times New Roman" w:hAnsi="Times New Roman"/>
          <w:b w:val="false"/>
          <w:i w:val="false"/>
          <w:color w:val="000000"/>
          <w:sz w:val="22"/>
        </w:rPr>
        <w:t xml:space="preserve">A real estate broker performing real estate closing services is eligible for the exemption in Iowa Code section </w:t>
      </w:r>
      <w:hyperlink r:id="rId4">
        <w:r>
          <w:rPr>
            <w:rStyle w:val="Hyperlink"/>
            <w:rFonts w:ascii="Times New Roman" w:hAnsi="Times New Roman"/>
            <w:b w:val="false"/>
            <w:i w:val="false"/>
            <w:color w:val="000000"/>
            <w:sz w:val="22"/>
          </w:rPr>
          <w:t>535B.2(6)</w:t>
        </w:r>
      </w:hyperlink>
      <w:r>
        <w:rPr>
          <w:rFonts w:ascii="Times New Roman" w:hAnsi="Times New Roman"/>
          <w:b w:val="false"/>
          <w:i w:val="false"/>
          <w:color w:val="000000"/>
          <w:sz w:val="22"/>
        </w:rPr>
        <w:t xml:space="preserve"> only when performing real estate closing services on a transaction in which the broker’s brokerage represents one of the parties to the transaction and the closing is being administered through an account regulated by the real estate commission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2.pdf" Type="http://schemas.openxmlformats.org/officeDocument/2006/relationships/hyperlink" Id="rId4"/>
    <Relationship TargetMode="External" Target="https://www.legis.iowa.gov/docs/ico/chapter/543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