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187—18.11</w:t>
      </w:r>
      <w:r>
        <w:rPr>
          <w:rFonts w:ascii="Times New Roman" w:hAnsi="Times New Roman"/>
          <w:b/>
          <w:i w:val="false"/>
          <w:color w:val="000000"/>
          <w:sz w:val="22"/>
        </w:rPr>
        <w:t xml:space="preserve">(17A,535B) </w:t>
      </w:r>
      <w:r>
        <w:rPr>
          <w:rFonts w:ascii="Times New Roman" w:hAnsi="Times New Roman"/>
          <w:b/>
          <w:i w:val="false"/>
          <w:color w:val="000000"/>
          <w:sz w:val="22"/>
        </w:rPr>
        <w:t xml:space="preserve">Advertising and representations to potential borrowers.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val="false"/>
          <w:color w:val="000000"/>
          <w:sz w:val="22"/>
        </w:rPr>
        <w:t>Any advertisement of mortgage loans offered by or through a mortgage banker or mortgage broker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Truth-in-Lending Act, Regulation Z, and any other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made only for such products and terms as are actually available and, if their availability is subject to any material requirements or limitations, the advertisement shall specify those requirements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make any statement or fail to make any statement the result of which shall present a misleading or deceptive impression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Clearly show the licensee’s unique NMLS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val="false"/>
          <w:color w:val="000000"/>
          <w:sz w:val="22"/>
        </w:rPr>
        <w:t>A licensee receiving a verbal or written inquiry about the licensee’s services shall respond accurately to any questions about the scope and nature of such services and any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