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187—17.9</w:t>
      </w:r>
      <w:r>
        <w:rPr>
          <w:rFonts w:ascii="Times New Roman" w:hAnsi="Times New Roman"/>
          <w:b/>
          <w:i w:val="false"/>
          <w:color w:val="000000"/>
          <w:sz w:val="22"/>
        </w:rPr>
        <w:t xml:space="preserve">(17A,533D)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A licensee must keep records that allow the superintendent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keep records for at least 24 months from the date of the final transaction with the maker.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all books and records in good order and produce books and records for the superintendent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its license. The owners and directors of the licensee are responsible for ensuring that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licensee shall keep, at its principal place of business, a transaction register, an account ledger, a transaction file, an index, an application log, a denial file, and a disbursement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color w:val="000000"/>
          <w:sz w:val="22"/>
        </w:rPr>
        <w:t xml:space="preserve">Transaction register. </w:t>
      </w:r>
      <w:r>
        <w:rPr>
          <w:rFonts w:ascii="Times New Roman" w:hAnsi="Times New Roman"/>
          <w:b w:val="false"/>
          <w:i w:val="false"/>
          <w:color w:val="000000"/>
          <w:sz w:val="22"/>
        </w:rPr>
        <w:t>The transaction register shall be kept chronologically in the order the transactions closed and include the following information for every transaction that is made: the account number, the date of the transaction, the name of the maker, the amount financed, and the amount of the maker’s check. A licensee may combine the transaction register with the application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r>
        <w:rPr>
          <w:rFonts w:ascii="Times New Roman" w:hAnsi="Times New Roman"/>
          <w:b w:val="false"/>
          <w:i w:val="false"/>
          <w:color w:val="000000"/>
          <w:sz w:val="22"/>
        </w:rPr>
        <w:t>A licensee shall maintain an account ledger for each maker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maker, the transaction number, the transaction date, the maturity date, the payment terms, the amount financed, and the total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transaction history that lists all transactions with the maker. Payments shall be posted to the account ledger effective the date payments were received and show the date payment was received, the total amount of the payment, and a description of how the payment was applied to the maker’s account. Other transactions shall be fully described. Corrections to the transaction history shall be made by corrective entry and not by erasure.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17.9(5)</w:t>
      </w:r>
      <w:r>
        <w:rPr>
          <w:rFonts w:ascii="Times New Roman" w:hAnsi="Times New Roman"/>
          <w:b w:val="false"/>
          <w:i w:val="false"/>
          <w:color w:val="000000"/>
          <w:sz w:val="22"/>
        </w:rPr>
        <w:t> </w:t>
      </w:r>
      <w:r>
        <w:rPr>
          <w:rFonts w:ascii="Times New Roman" w:hAnsi="Times New Roman"/>
          <w:b w:val="false"/>
          <w:i/>
          <w:color w:val="000000"/>
          <w:sz w:val="22"/>
        </w:rPr>
        <w:t xml:space="preserve">Transaction file. </w:t>
      </w:r>
      <w:r>
        <w:rPr>
          <w:rFonts w:ascii="Times New Roman" w:hAnsi="Times New Roman"/>
          <w:b w:val="false"/>
          <w:i w:val="false"/>
          <w:color w:val="000000"/>
          <w:sz w:val="22"/>
        </w:rPr>
        <w:t xml:space="preserve">The transaction file consists of the application, the transaction agreement, notice pursuant to Iowa Code section </w:t>
      </w:r>
      <w:hyperlink r:id="rId4">
        <w:r>
          <w:rPr>
            <w:rStyle w:val="Hyperlink"/>
            <w:rFonts w:ascii="Times New Roman" w:hAnsi="Times New Roman"/>
            <w:b w:val="false"/>
            <w:i w:val="false"/>
            <w:color w:val="000000"/>
            <w:sz w:val="22"/>
          </w:rPr>
          <w:t>533D.9(2)</w:t>
        </w:r>
      </w:hyperlink>
      <w:r>
        <w:rPr>
          <w:rFonts w:ascii="Times New Roman" w:hAnsi="Times New Roman"/>
          <w:b w:val="false"/>
          <w:i w:val="false"/>
          <w:color w:val="000000"/>
          <w:sz w:val="22"/>
        </w:rPr>
        <w:t>, and all required truth-in-lending disclosures for each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17.9(6)</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record shall be maintained and show the name of each maker, endorser, comaker, or surety who is currently indebted to the licensee, together with sufficient information to locate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17.9(7)</w:t>
      </w:r>
      <w:r>
        <w:rPr>
          <w:rFonts w:ascii="Times New Roman" w:hAnsi="Times New Roman"/>
          <w:b w:val="false"/>
          <w:i w:val="false"/>
          <w:color w:val="000000"/>
          <w:sz w:val="22"/>
        </w:rPr>
        <w:t> </w:t>
      </w:r>
      <w:r>
        <w:rPr>
          <w:rFonts w:ascii="Times New Roman" w:hAnsi="Times New Roman"/>
          <w:b w:val="false"/>
          <w:i/>
          <w:color w:val="000000"/>
          <w:sz w:val="22"/>
        </w:rPr>
        <w:t xml:space="preserve">Application log. </w:t>
      </w:r>
      <w:r>
        <w:rPr>
          <w:rFonts w:ascii="Times New Roman" w:hAnsi="Times New Roman"/>
          <w:b w:val="false"/>
          <w:i w:val="false"/>
          <w:color w:val="000000"/>
          <w:sz w:val="22"/>
        </w:rPr>
        <w:t>The application log is a chronological list of applications received. The application log shall include the name of the applicant, the date the application was received, whether the transaction was made or denied, and the date when the transaction was made or denied if that date differs from the date when the licensee received the application. For approved applications, the application log shall show the date when the transaction closed and the name of the maker. For recordkeeping purposes, an application is a prospective maker’s oral or written request for a licensee to extend credit that is made in accordance with the procedures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17.9(8)</w:t>
      </w:r>
      <w:r>
        <w:rPr>
          <w:rFonts w:ascii="Times New Roman" w:hAnsi="Times New Roman"/>
          <w:b w:val="false"/>
          <w:i w:val="false"/>
          <w:color w:val="000000"/>
          <w:sz w:val="22"/>
        </w:rPr>
        <w:t> </w:t>
      </w:r>
      <w:r>
        <w:rPr>
          <w:rFonts w:ascii="Times New Roman" w:hAnsi="Times New Roman"/>
          <w:b w:val="false"/>
          <w:i/>
          <w:color w:val="000000"/>
          <w:sz w:val="22"/>
        </w:rPr>
        <w:t xml:space="preserve">Disbursement voucher. </w:t>
      </w:r>
      <w:r>
        <w:rPr>
          <w:rFonts w:ascii="Times New Roman" w:hAnsi="Times New Roman"/>
          <w:b w:val="false"/>
          <w:i w:val="false"/>
          <w:color w:val="000000"/>
          <w:sz w:val="22"/>
        </w:rPr>
        <w:t>Licensees shall use, in conjunction with each transaction, a disbursement voucher or equivalent document showing a detailed itemization of the distribution of the transaction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17.9(9)</w:t>
      </w:r>
      <w:r>
        <w:rPr>
          <w:rFonts w:ascii="Times New Roman" w:hAnsi="Times New Roman"/>
          <w:b w:val="false"/>
          <w:i w:val="false"/>
          <w:color w:val="000000"/>
          <w:sz w:val="22"/>
        </w:rPr>
        <w:t> </w:t>
      </w:r>
      <w:r>
        <w:rPr>
          <w:rFonts w:ascii="Times New Roman" w:hAnsi="Times New Roman"/>
          <w:b w:val="false"/>
          <w:i/>
          <w:color w:val="000000"/>
          <w:sz w:val="22"/>
        </w:rPr>
        <w:t xml:space="preserve">Denial file. </w:t>
      </w:r>
      <w:r>
        <w:rPr>
          <w:rFonts w:ascii="Times New Roman" w:hAnsi="Times New Roman"/>
          <w:b w:val="false"/>
          <w:i w:val="false"/>
          <w:color w:val="000000"/>
          <w:sz w:val="22"/>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17.9(10)</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delayed deposit services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transaction applicant, including a record of the date and amount of all such payments actually made by each transaction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delayed deposit services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5">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delayed deposit services directed at Iowa residents, including advertisements and solicitations on the internet or by other electronic means, in the format in which the advertisements and solicitations were published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17.9(11)</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6">
        <w:r>
          <w:rPr>
            <w:rStyle w:val="Hyperlink"/>
            <w:rFonts w:ascii="Times New Roman" w:hAnsi="Times New Roman"/>
            <w:b w:val="false"/>
            <w:i w:val="false"/>
            <w:color w:val="000000"/>
            <w:sz w:val="22"/>
          </w:rPr>
          <w:t>715A.8(1)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owners and directors of licensees and former licensees are responsible for ensuring that this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3D.9.pdf" Type="http://schemas.openxmlformats.org/officeDocument/2006/relationships/hyperlink" Id="rId4"/>
    <Relationship TargetMode="External" Target="https://www.legis.iowa.gov/docs/ico/chapter/533D.pdf" Type="http://schemas.openxmlformats.org/officeDocument/2006/relationships/hyperlink" Id="rId5"/>
    <Relationship TargetMode="External" Target="https://www.legis.iowa.gov/docs/ico/chapter/715A.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