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187—17.6</w:t>
      </w:r>
      <w:r>
        <w:rPr>
          <w:rFonts w:ascii="Times New Roman" w:hAnsi="Times New Roman"/>
          <w:b/>
          <w:i w:val="false"/>
          <w:color w:val="000000"/>
          <w:sz w:val="22"/>
        </w:rPr>
        <w:t xml:space="preserve">(17A,533D) </w:t>
      </w:r>
      <w:r>
        <w:rPr>
          <w:rFonts w:ascii="Times New Roman" w:hAnsi="Times New Roman"/>
          <w:b/>
          <w:i w:val="false"/>
          <w:color w:val="000000"/>
          <w:sz w:val="22"/>
        </w:rPr>
        <w:t xml:space="preserve">Changes in the licensee’s name, location, or control.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wishing to change the name or location of a delayed deposit services business shall notify the superintendent at least 30 days prior to the requested change and submit the fee specified in Iowa Code sections </w:t>
      </w:r>
      <w:hyperlink r:id="rId4">
        <w:r>
          <w:rPr>
            <w:rStyle w:val="Hyperlink"/>
            <w:rFonts w:ascii="Times New Roman" w:hAnsi="Times New Roman"/>
            <w:b w:val="false"/>
            <w:i w:val="false"/>
            <w:color w:val="000000"/>
            <w:sz w:val="22"/>
          </w:rPr>
          <w:t>533D.7</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533D.7A</w:t>
        </w:r>
      </w:hyperlink>
      <w:r>
        <w:rPr>
          <w:rFonts w:ascii="Times New Roman" w:hAnsi="Times New Roman"/>
          <w:b w:val="false"/>
          <w:i w:val="false"/>
          <w:color w:val="000000"/>
          <w:sz w:val="22"/>
        </w:rPr>
        <w:t>. The request shall include proof that the licensee has either obtained a new bond or amended the existing bond to reflect the new name or location. A licensee cannot enter into delayed deposit transactions under a different name without providing such notice and submitting the required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wishing to establish a branch office must submit the application to the superintendent, on the form provided and with the information requested, through the NMLS, along with the fee specified in Iowa Code section </w:t>
      </w:r>
      <w:hyperlink r:id="rId6">
        <w:r>
          <w:rPr>
            <w:rStyle w:val="Hyperlink"/>
            <w:rFonts w:ascii="Times New Roman" w:hAnsi="Times New Roman"/>
            <w:b w:val="false"/>
            <w:i w:val="false"/>
            <w:color w:val="000000"/>
            <w:sz w:val="22"/>
          </w:rPr>
          <w:t>533D.7</w:t>
        </w:r>
      </w:hyperlink>
      <w:r>
        <w:rPr>
          <w:rFonts w:ascii="Times New Roman" w:hAnsi="Times New Roman"/>
          <w:b w:val="false"/>
          <w:i w:val="false"/>
          <w:color w:val="000000"/>
          <w:sz w:val="22"/>
        </w:rPr>
        <w:t xml:space="preserve">. Licenses issued to branch offices are treated as independent licenses and are subject to the renewal requirements, fees, and procedures specified in rule </w:t>
      </w:r>
      <w:hyperlink r:id="rId7">
        <w:r>
          <w:rPr>
            <w:rStyle w:val="Hyperlink"/>
            <w:rFonts w:ascii="Times New Roman" w:hAnsi="Times New Roman"/>
            <w:b w:val="false"/>
            <w:i w:val="false"/>
            <w:color w:val="000000"/>
            <w:sz w:val="22"/>
          </w:rPr>
          <w:t>187—17.5</w:t>
        </w:r>
      </w:hyperlink>
      <w:r>
        <w:rPr>
          <w:rFonts w:ascii="Times New Roman" w:hAnsi="Times New Roman"/>
          <w:b w:val="false"/>
          <w:i w:val="false"/>
          <w:color w:val="000000"/>
          <w:sz w:val="22"/>
        </w:rPr>
        <w:t>(17A,533D).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change of control of a licensee is proposed, the party that will assume control of the licensee shall give notice to the superintendent at least 60 days before the proposed change will take effect. The party that will assume control of the licensee shall furnish the superintendent with the same information required of initial applicants for a license, along with the fee specified in Iowa Code sections </w:t>
      </w:r>
      <w:hyperlink r:id="rId8">
        <w:r>
          <w:rPr>
            <w:rStyle w:val="Hyperlink"/>
            <w:rFonts w:ascii="Times New Roman" w:hAnsi="Times New Roman"/>
            <w:b w:val="false"/>
            <w:i w:val="false"/>
            <w:color w:val="000000"/>
            <w:sz w:val="22"/>
          </w:rPr>
          <w:t>533D.6</w:t>
        </w:r>
      </w:hyperlink>
      <w:r>
        <w:rPr>
          <w:rFonts w:ascii="Times New Roman" w:hAnsi="Times New Roman"/>
          <w:b w:val="false"/>
          <w:i w:val="false"/>
          <w:color w:val="000000"/>
          <w:sz w:val="22"/>
        </w:rPr>
        <w:t xml:space="preserve">. The party that will assume control may be required to provide fingerprints, authorize a fingerprint background check through NMLS, and pay the appropriate fees for the purpose of conducting a national criminal history background check through the Federal Bureau of Investigation. The superintendent shall approve or deny the request in accordance with the provisions of Iowa Code section </w:t>
      </w:r>
      <w:hyperlink r:id="rId9">
        <w:r>
          <w:rPr>
            <w:rStyle w:val="Hyperlink"/>
            <w:rFonts w:ascii="Times New Roman" w:hAnsi="Times New Roman"/>
            <w:b w:val="false"/>
            <w:i w:val="false"/>
            <w:color w:val="000000"/>
            <w:sz w:val="22"/>
          </w:rPr>
          <w:t>533D.3</w:t>
        </w:r>
      </w:hyperlink>
      <w:r>
        <w:rPr>
          <w:rFonts w:ascii="Times New Roman" w:hAnsi="Times New Roman"/>
          <w:b w:val="false"/>
          <w:i w:val="false"/>
          <w:color w:val="000000"/>
          <w:sz w:val="22"/>
        </w:rPr>
        <w:t xml:space="preserve"> and rule </w:t>
      </w:r>
      <w:hyperlink r:id="rId10">
        <w:r>
          <w:rPr>
            <w:rStyle w:val="Hyperlink"/>
            <w:rFonts w:ascii="Times New Roman" w:hAnsi="Times New Roman"/>
            <w:b w:val="false"/>
            <w:i w:val="false"/>
            <w:color w:val="000000"/>
            <w:sz w:val="22"/>
          </w:rPr>
          <w:t>187—17.4</w:t>
        </w:r>
      </w:hyperlink>
      <w:r>
        <w:rPr>
          <w:rFonts w:ascii="Times New Roman" w:hAnsi="Times New Roman"/>
          <w:b w:val="false"/>
          <w:i w:val="false"/>
          <w:color w:val="000000"/>
          <w:sz w:val="22"/>
        </w:rPr>
        <w:t>(17A,533D).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0589D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3D.7.pdf" Type="http://schemas.openxmlformats.org/officeDocument/2006/relationships/hyperlink" Id="rId4"/>
    <Relationship TargetMode="External" Target="https://www.legis.iowa.gov/docs/ico/chapter/533D.7A.pdf" Type="http://schemas.openxmlformats.org/officeDocument/2006/relationships/hyperlink" Id="rId5"/>
    <Relationship TargetMode="External" Target="https://www.legis.iowa.gov/docs/ico/chapter/533D.7.pdf" Type="http://schemas.openxmlformats.org/officeDocument/2006/relationships/hyperlink" Id="rId6"/>
    <Relationship TargetMode="External" Target="https://www.legis.iowa.gov/docs/iac/rule/187.17.5.pdf" Type="http://schemas.openxmlformats.org/officeDocument/2006/relationships/hyperlink" Id="rId7"/>
    <Relationship TargetMode="External" Target="https://www.legis.iowa.gov/docs/ico/chapter/533D.6.pdf" Type="http://schemas.openxmlformats.org/officeDocument/2006/relationships/hyperlink" Id="rId8"/>
    <Relationship TargetMode="External" Target="https://www.legis.iowa.gov/docs/ico/chapter/533D.3.pdf" Type="http://schemas.openxmlformats.org/officeDocument/2006/relationships/hyperlink" Id="rId9"/>
    <Relationship TargetMode="External" Target="https://www.legis.iowa.gov/docs/iac/rule/187.17.4.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