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187—17.3</w:t>
      </w:r>
      <w:r>
        <w:rPr>
          <w:rFonts w:ascii="Times New Roman" w:hAnsi="Times New Roman"/>
          <w:b/>
          <w:i w:val="false"/>
          <w:color w:val="000000"/>
          <w:sz w:val="22"/>
        </w:rPr>
        <w:t xml:space="preserve">(17A,533D)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operate a delayed deposit services business in Iowa shall be submitted to the superintendent, on the form provided and with the information requested, through NMLS. The superintendent may consider an application withdrawn if it does not contain all required information and the missing information is not submitted to the superintendent within 30 days after the superintendent requests the missing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specified in Iowa Code section </w:t>
      </w:r>
      <w:hyperlink r:id="rId4">
        <w:r>
          <w:rPr>
            <w:rStyle w:val="Hyperlink"/>
            <w:rFonts w:ascii="Times New Roman" w:hAnsi="Times New Roman"/>
            <w:b w:val="false"/>
            <w:i w:val="false"/>
            <w:color w:val="000000"/>
            <w:sz w:val="22"/>
          </w:rPr>
          <w:t>533D.3</w:t>
        </w:r>
      </w:hyperlink>
      <w:r>
        <w:rPr>
          <w:rFonts w:ascii="Times New Roman" w:hAnsi="Times New Roman"/>
          <w:b w:val="false"/>
          <w:i w:val="false"/>
          <w:color w:val="000000"/>
          <w:sz w:val="22"/>
        </w:rPr>
        <w:t xml:space="preserve"> and an initial license fee of $250. The superintendent shall refund the initial license fee if the application is denied,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applicant files the initial application, the applicant shall provide updated information to the superintendent within ten days of the change. When such a material change in information has occurred, the superintendent may deny an application if the applicant fails to provide updated information within the prescribed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file with the superintendent a bond complying with the provisions of Iowa Code section </w:t>
      </w:r>
      <w:hyperlink r:id="rId5">
        <w:r>
          <w:rPr>
            <w:rStyle w:val="Hyperlink"/>
            <w:rFonts w:ascii="Times New Roman" w:hAnsi="Times New Roman"/>
            <w:b w:val="false"/>
            <w:i w:val="false"/>
            <w:color w:val="000000"/>
            <w:sz w:val="22"/>
          </w:rPr>
          <w:t>533D.3(3)</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3D.3.pdf" Type="http://schemas.openxmlformats.org/officeDocument/2006/relationships/hyperlink" Id="rId4"/>
    <Relationship TargetMode="External" Target="https://www.legis.iowa.gov/docs/ico/chapter/533D.3.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