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Utilization of NMLS.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application and licensing information shall be submitted through NMLS, including but not limited to the following: original application information; changes in application information; license renewal information; changes in name, location, and control; and notices of significant events.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17.2(2)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applicant or licensee shall pay any fees required by NMLS, including but not limited to the following: initial set-up fee and annual processing fees, background check fees, and credit background check fees.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