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187—17.12</w:t>
      </w:r>
      <w:r>
        <w:rPr>
          <w:rFonts w:ascii="Times New Roman" w:hAnsi="Times New Roman"/>
          <w:b/>
          <w:i w:val="false"/>
          <w:color w:val="000000"/>
          <w:sz w:val="22"/>
        </w:rPr>
        <w:t xml:space="preserve">(17A,533D) </w:t>
      </w:r>
      <w:r>
        <w:rPr>
          <w:rFonts w:ascii="Times New Roman" w:hAnsi="Times New Roman"/>
          <w:b/>
          <w:i w:val="false"/>
          <w:color w:val="000000"/>
          <w:sz w:val="22"/>
        </w:rPr>
        <w:t xml:space="preserve">Annual report. </w:t>
      </w:r>
      <w:r>
        <w:rPr>
          <w:rFonts w:ascii="Times New Roman" w:hAnsi="Times New Roman"/>
          <w:b w:val="false"/>
          <w:i w:val="false"/>
          <w:color w:val="000000"/>
          <w:sz w:val="22"/>
        </w:rPr>
        <w:t>Licensees must file with the superintendent an annual report, on forms prescribed by the superintendent, on or before April 15. The information contained in the annual report shall be confidential, and the superintendent may publish the information only in composite form. The superintendent may assess a late fee of $10 for each day the annual report is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