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187—17.10</w:t>
      </w:r>
      <w:r>
        <w:rPr>
          <w:rFonts w:ascii="Times New Roman" w:hAnsi="Times New Roman"/>
          <w:b/>
          <w:i w:val="false"/>
          <w:color w:val="000000"/>
          <w:sz w:val="22"/>
        </w:rPr>
        <w:t xml:space="preserve">(17A,533D)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may, at any time and as often as the superintendent deems necessary, investigate or examine a licensee pursuant to Iowa Code section </w:t>
      </w:r>
      <w:hyperlink r:id="rId4">
        <w:r>
          <w:rPr>
            <w:rStyle w:val="Hyperlink"/>
            <w:rFonts w:ascii="Times New Roman" w:hAnsi="Times New Roman"/>
            <w:b w:val="false"/>
            <w:i w:val="false"/>
            <w:color w:val="000000"/>
            <w:sz w:val="22"/>
          </w:rPr>
          <w:t>533D.11</w:t>
        </w:r>
      </w:hyperlink>
      <w:r>
        <w:rPr>
          <w:rFonts w:ascii="Times New Roman" w:hAnsi="Times New Roman"/>
          <w:b w:val="false"/>
          <w:i w:val="false"/>
          <w:color w:val="000000"/>
          <w:sz w:val="22"/>
        </w:rPr>
        <w:t>, including investigating complaints about, or alleged violations by, any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17.10(2)</w:t>
      </w:r>
      <w:r>
        <w:rPr>
          <w:rFonts w:ascii="Times New Roman" w:hAnsi="Times New Roman"/>
          <w:b w:val="false"/>
          <w:i w:val="false"/>
          <w:color w:val="000000"/>
          <w:sz w:val="22"/>
        </w:rPr>
        <w:t> </w:t>
      </w:r>
      <w:r>
        <w:rPr>
          <w:rFonts w:ascii="Times New Roman" w:hAnsi="Times New Roman"/>
          <w:b w:val="false"/>
          <w:i w:val="false"/>
          <w:color w:val="000000"/>
          <w:sz w:val="22"/>
        </w:rPr>
        <w:t>A complaint or alleged violation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complaint received from a consumer, member of the public, employee, business affiliate, or other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the licensee has been the subject of disciplinary proceedings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an individual with control of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0589D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3D.1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