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187—16.9</w:t>
      </w:r>
      <w:r>
        <w:rPr>
          <w:rFonts w:ascii="Times New Roman" w:hAnsi="Times New Roman"/>
          <w:b/>
          <w:i w:val="false"/>
          <w:color w:val="000000"/>
          <w:sz w:val="22"/>
        </w:rPr>
        <w:t xml:space="preserve">(17A,536A) </w:t>
      </w:r>
      <w:r>
        <w:rPr>
          <w:rFonts w:ascii="Times New Roman" w:hAnsi="Times New Roman"/>
          <w:b/>
          <w:i w:val="false"/>
          <w:color w:val="000000"/>
          <w:sz w:val="22"/>
        </w:rPr>
        <w:t xml:space="preserve">Licensee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w:t>
      </w:r>
      <w:r>
        <w:rPr>
          <w:rFonts w:ascii="Times New Roman" w:hAnsi="Times New Roman"/>
          <w:b w:val="false"/>
          <w:i w:val="false"/>
          <w:color w:val="000000"/>
          <w:sz w:val="22"/>
        </w:rPr>
        <w:t> </w:t>
      </w:r>
      <w:r>
        <w:rPr>
          <w:rFonts w:ascii="Times New Roman" w:hAnsi="Times New Roman"/>
          <w:b w:val="false"/>
          <w:i/>
          <w:color w:val="000000"/>
          <w:sz w:val="22"/>
        </w:rPr>
        <w:t xml:space="preserve">General records requirements. </w:t>
      </w:r>
      <w:r>
        <w:rPr>
          <w:rFonts w:ascii="Times New Roman" w:hAnsi="Times New Roman"/>
          <w:b w:val="false"/>
          <w:i w:val="false"/>
          <w:color w:val="000000"/>
          <w:sz w:val="22"/>
        </w:rPr>
        <w:t>A licensee must keep records that allow the superintendent to determine the licensee’s compliance with relevant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may keep the records as a hard copy or in an electronic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keep records for at least 24 months from the date of the final transaction with the borrower.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all books and records in good order and produce books and records for the superintendent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obligation to maintain records continues even after the licensee ceases business operations in Iowa and turns in or surrenders the licensee’s license. The owners and directors of the licensee are responsible for ensuring that this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16.9(2)</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w:t>
      </w:r>
      <w:r>
        <w:rPr>
          <w:rFonts w:ascii="Times New Roman" w:hAnsi="Times New Roman"/>
          <w:b w:val="false"/>
          <w:i w:val="false"/>
          <w:color w:val="000000"/>
          <w:sz w:val="22"/>
        </w:rPr>
        <w:t>A licensee shall keep, at the licensee’s principal place of business, a loan register, account ledgers, an account ledger control, a loan file, an index, and a disbursement voucher.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16.9(3)</w:t>
      </w:r>
      <w:r>
        <w:rPr>
          <w:rFonts w:ascii="Times New Roman" w:hAnsi="Times New Roman"/>
          <w:b w:val="false"/>
          <w:i w:val="false"/>
          <w:color w:val="000000"/>
          <w:sz w:val="22"/>
        </w:rPr>
        <w:t> </w:t>
      </w:r>
      <w:r>
        <w:rPr>
          <w:rFonts w:ascii="Times New Roman" w:hAnsi="Times New Roman"/>
          <w:b w:val="false"/>
          <w:i/>
          <w:color w:val="000000"/>
          <w:sz w:val="22"/>
        </w:rPr>
        <w:t xml:space="preserve">Loan register. </w:t>
      </w:r>
      <w:r>
        <w:rPr>
          <w:rFonts w:ascii="Times New Roman" w:hAnsi="Times New Roman"/>
          <w:b w:val="false"/>
          <w:i w:val="false"/>
          <w:color w:val="000000"/>
          <w:sz w:val="22"/>
        </w:rPr>
        <w:t>The loan register shall be kept chronologically in the order the loans closed and include the following information for every loan that is made: the account number, the date of the transaction, the name of the borrower, and the amount financed.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w:t>
      </w:r>
      <w:r>
        <w:rPr>
          <w:rFonts w:ascii="Times New Roman" w:hAnsi="Times New Roman"/>
          <w:b w:val="false"/>
          <w:i w:val="false"/>
          <w:color w:val="000000"/>
          <w:sz w:val="22"/>
        </w:rPr>
        <w:t> </w:t>
      </w:r>
      <w:r>
        <w:rPr>
          <w:rFonts w:ascii="Times New Roman" w:hAnsi="Times New Roman"/>
          <w:b w:val="false"/>
          <w:i/>
          <w:color w:val="000000"/>
          <w:sz w:val="22"/>
        </w:rPr>
        <w:t xml:space="preserve">Account ledger.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account ledger shall be kept for each account and show at least the loan number; name and address of the borrower; date of loan; date of first payment; date of final payment; terms of repayment, including maturity date, amount financed, total of payments, face amount of note if different from amount financed or total of payments, cash advanced to borrower, cash advanced to pay balance of previous industrial loan, interest or discount charge, service charge, attorney fee, fee paid or to be paid to a public official for recording or filing a mortgage or for satisfying a judgment or lien on any real or personal property securing the loan, nature of security, type and cost of each credit insurance policy and any other insurance policy with each premium stated separately; and name of each endorser, comaker or surety.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payments shall be posted on the account ledger as of the date received. Corrections to the transaction history in the account ledger shall be made by corrective entry and not by erasure. The entries on the account ledger shall correspond with the receipts given to the borrower.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payment is made in any way other than in the ordinary course of business, the method of payment shall be so designated on the account ledger. When a death claim is filed, the exact date of death is to be recorded on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account ledger for an interest-bearing loan shall show the amount of the loan if different from the amount financed, the amount and date of each payment received, the allocation of the payment to principal and interest, and the remaining principal balance. If a portion of the interest earned is not paid at the time payment is made, the account ledger for an interest-bearing loan must show either the date to which interest is paid or the amount of interest then due but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account ledger for a precomputed loan shall show the actual amount of the loan, excluding the precomputed interest; the amount of the precomputed interest and the face amount of the note, including interest; the amount and date of each payment applied to the note; the unpaid balance of the note after application of such payment; and the type and amount of any additional charges collected or assessed. If a deferment charge is collected in whole or in part, the account ledger shall indicate any uncollected portion of the deferment charge, the particular installment deferred, the number of times deferred, and the date of the final installment.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any loan is prepaid in full, either by cash or renewal, the account ledger must show the date of prepayment, the amount paid to discharge the loan, the amount of the interest rebate, and any deduction from the rebate for previously earned but uncollected charges, and refunds of the unearned premiums of each credit insurance policy or other insurance policy. Each insurance refund shall be separately recorded on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Account ledgers relating to each type of business operation must be filed in separate groups. Paid-in-full or renewed account ledgers must also be filed in a similar manner and be retained as a separate group from one examination to the next. After the examination, these account ledgers may be filed in a permanent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16.9(5)</w:t>
      </w:r>
      <w:r>
        <w:rPr>
          <w:rFonts w:ascii="Times New Roman" w:hAnsi="Times New Roman"/>
          <w:b w:val="false"/>
          <w:i w:val="false"/>
          <w:color w:val="000000"/>
          <w:sz w:val="22"/>
        </w:rPr>
        <w:t> </w:t>
      </w:r>
      <w:r>
        <w:rPr>
          <w:rFonts w:ascii="Times New Roman" w:hAnsi="Times New Roman"/>
          <w:b w:val="false"/>
          <w:i/>
          <w:color w:val="000000"/>
          <w:sz w:val="22"/>
        </w:rPr>
        <w:t xml:space="preserve">Account ledger control. </w:t>
      </w:r>
      <w:r>
        <w:rPr>
          <w:rFonts w:ascii="Times New Roman" w:hAnsi="Times New Roman"/>
          <w:b w:val="false"/>
          <w:i w:val="false"/>
          <w:color w:val="000000"/>
          <w:sz w:val="22"/>
        </w:rPr>
        <w:t>A record showing the total number of accounts and amount receivable for each type of business conducted shall be maintained in the licensed office and posted either daily or weekly.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w:t>
      </w:r>
      <w:r>
        <w:rPr>
          <w:rFonts w:ascii="Times New Roman" w:hAnsi="Times New Roman"/>
          <w:b w:val="false"/>
          <w:i w:val="false"/>
          <w:color w:val="000000"/>
          <w:sz w:val="22"/>
        </w:rPr>
        <w:t> </w:t>
      </w:r>
      <w:r>
        <w:rPr>
          <w:rFonts w:ascii="Times New Roman" w:hAnsi="Times New Roman"/>
          <w:b w:val="false"/>
          <w:i/>
          <w:color w:val="000000"/>
          <w:sz w:val="22"/>
        </w:rPr>
        <w:t xml:space="preserve">Loan file. </w:t>
      </w:r>
      <w:r>
        <w:rPr>
          <w:rFonts w:ascii="Times New Roman" w:hAnsi="Times New Roman"/>
          <w:b w:val="false"/>
          <w:i w:val="false"/>
          <w:color w:val="000000"/>
          <w:sz w:val="22"/>
        </w:rPr>
        <w:t xml:space="preserve">A separate file shall be maintained for each borrower. Such file shall contain the promissory note, security agreement, wage assignment, and all other evidence of indebtedness or security pertaining to the loan except when the promissory note is kept in a separate promissory note file or when said papers are in custody of a court or an agent for collection or are hypothecated. When a borrower is also a comaker, guarantor, or endorser on another loan, the file of such borrower shall be cross-referenced to the other unless such cross-referencing is included on the alphabetical record required by subrule </w:t>
      </w:r>
      <w:hyperlink r:id="rId4">
        <w:r>
          <w:rPr>
            <w:rStyle w:val="Hyperlink"/>
            <w:rFonts w:ascii="Times New Roman" w:hAnsi="Times New Roman"/>
            <w:b w:val="false"/>
            <w:i w:val="false"/>
            <w:color w:val="000000"/>
            <w:sz w:val="22"/>
          </w:rPr>
          <w:t>16.9(7)</w:t>
        </w:r>
      </w:hyperlink>
      <w:r>
        <w:rPr>
          <w:rFonts w:ascii="Times New Roman" w:hAnsi="Times New Roman"/>
          <w:b w:val="false"/>
          <w:i w:val="false"/>
          <w:color w:val="000000"/>
          <w:sz w:val="22"/>
        </w:rPr>
        <w:t xml:space="preserve"> or the individual account ledger required by subrule </w:t>
      </w:r>
      <w:hyperlink r:id="rId5">
        <w:r>
          <w:rPr>
            <w:rStyle w:val="Hyperlink"/>
            <w:rFonts w:ascii="Times New Roman" w:hAnsi="Times New Roman"/>
            <w:b w:val="false"/>
            <w:i w:val="false"/>
            <w:color w:val="000000"/>
            <w:sz w:val="22"/>
          </w:rPr>
          <w:t>16.9(4)</w:t>
        </w:r>
      </w:hyperlink>
      <w:r>
        <w:rPr>
          <w:rFonts w:ascii="Times New Roman" w:hAnsi="Times New Roman"/>
          <w:b w:val="false"/>
          <w:i w:val="false"/>
          <w:color w:val="000000"/>
          <w:sz w:val="22"/>
        </w:rPr>
        <w:t>. All instruments taken in connection with a loan and signed by a borrower must bear the loan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16.9(7)</w:t>
      </w:r>
      <w:r>
        <w:rPr>
          <w:rFonts w:ascii="Times New Roman" w:hAnsi="Times New Roman"/>
          <w:b w:val="false"/>
          <w:i w:val="false"/>
          <w:color w:val="000000"/>
          <w:sz w:val="22"/>
        </w:rPr>
        <w:t> </w:t>
      </w:r>
      <w:r>
        <w:rPr>
          <w:rFonts w:ascii="Times New Roman" w:hAnsi="Times New Roman"/>
          <w:b w:val="false"/>
          <w:i/>
          <w:color w:val="000000"/>
          <w:sz w:val="22"/>
        </w:rPr>
        <w:t xml:space="preserve">Index. </w:t>
      </w:r>
      <w:r>
        <w:rPr>
          <w:rFonts w:ascii="Times New Roman" w:hAnsi="Times New Roman"/>
          <w:b w:val="false"/>
          <w:i w:val="false"/>
          <w:color w:val="000000"/>
          <w:sz w:val="22"/>
        </w:rPr>
        <w:t>An alphabetical index shall be maintained and show the name of each borrower, endorser, comaker, or surety that is currently indebted to the licensee, together with sufficient information to locate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16.9(8)</w:t>
      </w:r>
      <w:r>
        <w:rPr>
          <w:rFonts w:ascii="Times New Roman" w:hAnsi="Times New Roman"/>
          <w:b w:val="false"/>
          <w:i w:val="false"/>
          <w:color w:val="000000"/>
          <w:sz w:val="22"/>
        </w:rPr>
        <w:t> </w:t>
      </w:r>
      <w:r>
        <w:rPr>
          <w:rFonts w:ascii="Times New Roman" w:hAnsi="Times New Roman"/>
          <w:b w:val="false"/>
          <w:i/>
          <w:color w:val="000000"/>
          <w:sz w:val="22"/>
        </w:rPr>
        <w:t xml:space="preserve">Disbursement voucher. </w:t>
      </w:r>
      <w:r>
        <w:rPr>
          <w:rFonts w:ascii="Times New Roman" w:hAnsi="Times New Roman"/>
          <w:b w:val="false"/>
          <w:i w:val="false"/>
          <w:color w:val="000000"/>
          <w:sz w:val="22"/>
        </w:rPr>
        <w:t>Licensees shall use, in conjunction with each loan, a disbursement voucher or equivalent document showing a detailed itemization of the distribution of the loan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16.9(9)</w:t>
      </w:r>
      <w:r>
        <w:rPr>
          <w:rFonts w:ascii="Times New Roman" w:hAnsi="Times New Roman"/>
          <w:b w:val="false"/>
          <w:i w:val="false"/>
          <w:color w:val="000000"/>
          <w:sz w:val="22"/>
        </w:rPr>
        <w:t> </w:t>
      </w:r>
      <w:r>
        <w:rPr>
          <w:rFonts w:ascii="Times New Roman" w:hAnsi="Times New Roman"/>
          <w:b w:val="false"/>
          <w:i/>
          <w:color w:val="000000"/>
          <w:sz w:val="22"/>
        </w:rPr>
        <w:t xml:space="preserve">Denial file. </w:t>
      </w:r>
      <w:r>
        <w:rPr>
          <w:rFonts w:ascii="Times New Roman" w:hAnsi="Times New Roman"/>
          <w:b w:val="false"/>
          <w:i w:val="false"/>
          <w:color w:val="000000"/>
          <w:sz w:val="22"/>
        </w:rPr>
        <w:t>For each application the licensee denies, the licensee shall retain a copy of the application and a copy of the adverse action notice. The licensee may maintain this information in one file in either alphabetical or chronological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16.9(10)</w:t>
      </w:r>
      <w:r>
        <w:rPr>
          <w:rFonts w:ascii="Times New Roman" w:hAnsi="Times New Roman"/>
          <w:b w:val="false"/>
          <w:i w:val="false"/>
          <w:color w:val="000000"/>
          <w:sz w:val="22"/>
        </w:rPr>
        <w:t> </w:t>
      </w:r>
      <w:r>
        <w:rPr>
          <w:rFonts w:ascii="Times New Roman" w:hAnsi="Times New Roman"/>
          <w:b w:val="false"/>
          <w:i/>
          <w:color w:val="000000"/>
          <w:sz w:val="22"/>
        </w:rPr>
        <w:t xml:space="preserve">General business records. </w:t>
      </w:r>
      <w:r>
        <w:rPr>
          <w:rFonts w:ascii="Times New Roman" w:hAnsi="Times New Roman"/>
          <w:b w:val="false"/>
          <w:i w:val="false"/>
          <w:color w:val="000000"/>
          <w:sz w:val="22"/>
        </w:rPr>
        <w:t>A licensee must keep the following general business records for at least 36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checkbooks, check registers, bank statements, deposit slips, withdrawal slips, and canceled checks (or copies thereof) relating to the industrial loan business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records (including invoices and supporting documentation) for all expenses and fees paid on behalf of each loan applicant, including a record of the date and amount of all such payments actually made by each loan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all federal tax withholding forms, reports of income for federal taxation, and evidence of payments to all employees, independent contractors, and others compensated by a licensee in connection with the conduct of the industrial loan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and other records relating to the maintenance of any bond required by Iowa Code chapter </w:t>
      </w:r>
      <w:hyperlink r:id="rId6">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all reports of audits, examinations, inspections, reviews, investigations, or other similar functions performed by any third party, including but not limited to the superintendent or any other regulatory or supervisory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advertisements and solicitations concerning industrial loan services directed at Iowa residents, including advertisements and solicitations on the internet or by other electronic means, in the format in which the advertisements and solicitations were published or distributed. An advertisement shall clearly show the licensee’s unique NMLS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16.9(11)</w:t>
      </w:r>
      <w:r>
        <w:rPr>
          <w:rFonts w:ascii="Times New Roman" w:hAnsi="Times New Roman"/>
          <w:b w:val="false"/>
          <w:i w:val="false"/>
          <w:color w:val="000000"/>
          <w:sz w:val="22"/>
        </w:rPr>
        <w:t> </w:t>
      </w:r>
      <w:r>
        <w:rPr>
          <w:rFonts w:ascii="Times New Roman" w:hAnsi="Times New Roman"/>
          <w:b w:val="false"/>
          <w:i/>
          <w:color w:val="000000"/>
          <w:sz w:val="22"/>
        </w:rPr>
        <w:t xml:space="preserve">Disposal of records. </w:t>
      </w:r>
      <w:r>
        <w:rPr>
          <w:rFonts w:ascii="Times New Roman" w:hAnsi="Times New Roman"/>
          <w:b w:val="false"/>
          <w:i w:val="false"/>
          <w:color w:val="000000"/>
          <w:sz w:val="22"/>
        </w:rPr>
        <w:t xml:space="preserve">If a licensee or former licensee disposes of records at the end of the retention period, the licensee or former licensee shall dispose of the records in a reasonable manner that safeguards any “identification information” as defined in Iowa Code section </w:t>
      </w:r>
      <w:hyperlink r:id="rId7">
        <w:r>
          <w:rPr>
            <w:rStyle w:val="Hyperlink"/>
            <w:rFonts w:ascii="Times New Roman" w:hAnsi="Times New Roman"/>
            <w:b w:val="false"/>
            <w:i w:val="false"/>
            <w:color w:val="000000"/>
            <w:sz w:val="22"/>
          </w:rPr>
          <w:t>715A.8(1)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owners and directors of licensees and former licensees are responsible for ensuring that this requirement is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7.16.9.pdf" Type="http://schemas.openxmlformats.org/officeDocument/2006/relationships/hyperlink" Id="rId4"/>
    <Relationship TargetMode="External" Target="https://www.legis.iowa.gov/docs/iac/rule/187.16.9.pdf" Type="http://schemas.openxmlformats.org/officeDocument/2006/relationships/hyperlink" Id="rId5"/>
    <Relationship TargetMode="External" Target="https://www.legis.iowa.gov/docs/ico/chapter/536A.pdf" Type="http://schemas.openxmlformats.org/officeDocument/2006/relationships/hyperlink" Id="rId6"/>
    <Relationship TargetMode="External" Target="https://www.legis.iowa.gov/docs/ico/chapter/715A.8.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