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187—16.3</w:t>
      </w:r>
      <w:r>
        <w:rPr>
          <w:rFonts w:ascii="Times New Roman" w:hAnsi="Times New Roman"/>
          <w:b/>
          <w:i w:val="false"/>
          <w:color w:val="000000"/>
          <w:sz w:val="22"/>
        </w:rPr>
        <w:t xml:space="preserve">(17A,536A)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engage in the business of operating an industrial loan company in Iowa shall be submitted to the superintendent, on the form provided and with the information requested, through NMLS. The superintendent may consider an application withdrawn if it does not contain all of the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4">
        <w:r>
          <w:rPr>
            <w:rStyle w:val="Hyperlink"/>
            <w:rFonts w:ascii="Times New Roman" w:hAnsi="Times New Roman"/>
            <w:b w:val="false"/>
            <w:i w:val="false"/>
            <w:color w:val="000000"/>
            <w:sz w:val="22"/>
          </w:rPr>
          <w:t>536A.7(2)</w:t>
        </w:r>
      </w:hyperlink>
      <w:r>
        <w:rPr>
          <w:rFonts w:ascii="Times New Roman" w:hAnsi="Times New Roman"/>
          <w:b w:val="false"/>
          <w:i w:val="false"/>
          <w:color w:val="000000"/>
          <w:sz w:val="22"/>
        </w:rPr>
        <w:t>.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in writing within ten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an industrial loan company license must file with the superintendent a bond complying with the provisions of Iowa Code section </w:t>
      </w:r>
      <w:hyperlink r:id="rId5">
        <w:r>
          <w:rPr>
            <w:rStyle w:val="Hyperlink"/>
            <w:rFonts w:ascii="Times New Roman" w:hAnsi="Times New Roman"/>
            <w:b w:val="false"/>
            <w:i w:val="false"/>
            <w:color w:val="000000"/>
            <w:sz w:val="22"/>
          </w:rPr>
          <w:t>536A.7A</w:t>
        </w:r>
      </w:hyperlink>
      <w:r>
        <w:rPr>
          <w:rFonts w:ascii="Times New Roman" w:hAnsi="Times New Roman"/>
          <w:b w:val="false"/>
          <w:i w:val="false"/>
          <w:color w:val="000000"/>
          <w:sz w:val="22"/>
        </w:rPr>
        <w:t xml:space="preserve">. For an applicant or a licensee who does not make, arrange, broker, process, or underwrite any residential mortgage loans as defined in Iowa Code section </w:t>
      </w:r>
      <w:hyperlink r:id="rId6">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xml:space="preserve">, the bond shall be in the amount of $25,000. For an applicant or a licensee who makes, brokers, processes, or underwrites residential mortgage loans as defined in Iowa Code section </w:t>
      </w:r>
      <w:hyperlink r:id="rId7">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A.7.pdf" Type="http://schemas.openxmlformats.org/officeDocument/2006/relationships/hyperlink" Id="rId4"/>
    <Relationship TargetMode="External" Target="https://www.legis.iowa.gov/docs/ico/chapter/536A.7A.pdf"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5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