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Utilization of NMLS.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application and licensing information shall be submitted through NMLS, including but not limited to the following: original application information; changes in application information; license renewal information; changes in name, location, and control; and notices of significant events.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16.2(2)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 or licensee shall pay any fees required by NMLS, including but not limited to the following: initial set-up fee and annual processing fees, background check fees, credit background check fees, and a loan sponsorship transfer fee.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