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187—16.10</w:t>
      </w:r>
      <w:r>
        <w:rPr>
          <w:rFonts w:ascii="Times New Roman" w:hAnsi="Times New Roman"/>
          <w:b/>
          <w:i w:val="false"/>
          <w:color w:val="000000"/>
          <w:sz w:val="22"/>
        </w:rPr>
        <w:t xml:space="preserve">(17A,536A) </w:t>
      </w:r>
      <w:r>
        <w:rPr>
          <w:rFonts w:ascii="Times New Roman" w:hAnsi="Times New Roman"/>
          <w:b/>
          <w:i w:val="false"/>
          <w:color w:val="000000"/>
          <w:sz w:val="22"/>
        </w:rPr>
        <w:t xml:space="preserve">Complaints and investigations.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16.10(1)</w:t>
      </w:r>
      <w:r>
        <w:rPr>
          <w:rFonts w:ascii="Times New Roman" w:hAnsi="Times New Roman"/>
          <w:b w:val="false"/>
          <w:i w:val="false"/>
          <w:color w:val="000000"/>
          <w:sz w:val="22"/>
        </w:rPr>
        <w:t> </w:t>
      </w:r>
      <w:r>
        <w:rPr>
          <w:rFonts w:ascii="Times New Roman" w:hAnsi="Times New Roman"/>
          <w:b w:val="false"/>
          <w:i w:val="false"/>
          <w:color w:val="000000"/>
          <w:sz w:val="22"/>
        </w:rPr>
        <w:t xml:space="preserve">The superintendent may, at any time and as often as the superintendent deems necessary, investigate or examine a licensee pursuant to Iowa Code section </w:t>
      </w:r>
      <w:hyperlink r:id="rId4">
        <w:r>
          <w:rPr>
            <w:rStyle w:val="Hyperlink"/>
            <w:rFonts w:ascii="Times New Roman" w:hAnsi="Times New Roman"/>
            <w:b w:val="false"/>
            <w:i w:val="false"/>
            <w:color w:val="000000"/>
            <w:sz w:val="22"/>
          </w:rPr>
          <w:t>536.10</w:t>
        </w:r>
      </w:hyperlink>
      <w:r>
        <w:rPr>
          <w:rFonts w:ascii="Times New Roman" w:hAnsi="Times New Roman"/>
          <w:b w:val="false"/>
          <w:i w:val="false"/>
          <w:color w:val="000000"/>
          <w:sz w:val="22"/>
        </w:rPr>
        <w:t>, including investigating complaints about, or alleged violations by, any licensee.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16.10(2)</w:t>
      </w:r>
      <w:r>
        <w:rPr>
          <w:rFonts w:ascii="Times New Roman" w:hAnsi="Times New Roman"/>
          <w:b w:val="false"/>
          <w:i w:val="false"/>
          <w:color w:val="000000"/>
          <w:sz w:val="22"/>
        </w:rPr>
        <w:t> </w:t>
      </w:r>
      <w:r>
        <w:rPr>
          <w:rFonts w:ascii="Times New Roman" w:hAnsi="Times New Roman"/>
          <w:b w:val="false"/>
          <w:i w:val="false"/>
          <w:color w:val="000000"/>
          <w:sz w:val="22"/>
        </w:rPr>
        <w:t>A complaint or alleged violation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written complaint received from a consumer, member of the public, employee, business affiliate, or other governmental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Notice to the superintendent from any source that the licensee has been the subject of disciplinary proceedings in another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Notice to the superintendent from any source that an individual with control of the licensee has been convicted of forgery, embezzlement, obtaining money under false pretenses, extortion, conspiracy to defraud, or other similar offense in a court of competent jurisdiction in this state or in any other state, territory, or district of the United States, or in any foreign jurisdiction.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0588D</w:t>
      </w:r>
      <w:r>
        <w:rPr>
          <w:rFonts w:ascii="Times New Roman" w:hAnsi="Times New Roman"/>
          <w:b w:val="false"/>
          <w:i w:val="false"/>
          <w:color w:val="000000"/>
          <w:sz w:val="16"/>
        </w:rPr>
        <w:t>, IAB 9/16/26, effective 10/21/26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536.10.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