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187—15.6</w:t>
      </w:r>
      <w:r>
        <w:rPr>
          <w:rFonts w:ascii="Times New Roman" w:hAnsi="Times New Roman"/>
          <w:b/>
          <w:i w:val="false"/>
          <w:color w:val="000000"/>
          <w:sz w:val="22"/>
        </w:rPr>
        <w:t xml:space="preserve">(17A,536) </w:t>
      </w:r>
      <w:r>
        <w:rPr>
          <w:rFonts w:ascii="Times New Roman" w:hAnsi="Times New Roman"/>
          <w:b/>
          <w:i w:val="false"/>
          <w:color w:val="000000"/>
          <w:sz w:val="22"/>
        </w:rPr>
        <w:t xml:space="preserve">Changes in the licensee’s name, location, or control;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w:t>
      </w:r>
      <w:r>
        <w:rPr>
          <w:rFonts w:ascii="Times New Roman" w:hAnsi="Times New Roman"/>
          <w:b w:val="false"/>
          <w:i w:val="false"/>
          <w:color w:val="000000"/>
          <w:sz w:val="22"/>
        </w:rPr>
        <w:t> </w:t>
      </w:r>
      <w:r>
        <w:rPr>
          <w:rFonts w:ascii="Times New Roman" w:hAnsi="Times New Roman"/>
          <w:b w:val="false"/>
          <w:i w:val="false"/>
          <w:color w:val="000000"/>
          <w:sz w:val="22"/>
        </w:rPr>
        <w:t>A licensee wishing to change the name or location of a regulated loan business shall notify the superintendent through NMLS at least 30 days prior to the effective date of the requested change and submit the appropriate fee. The notice shall include proof that the licensee has either obtained a new bond or amended the existing bond to reflect the new name or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change of control of a licensee is proposed, the party that will assume control of the licensee shall give notice to the superintendent through NMLS at least 60 days before the proposed change will take effect. The party that will assume control of the licensee shall furnish the superintendent through NMLS with the same information required of initial applicants for a license, along with the appropriate fee. The party that will assume control may be required to provide fingerprints, authorize a fingerprint background check through NMLS, and pay the appropriate fees for the purpose of conducting a national criminal history background check through the FBI. The superintendent shall approve or deny the request in accordance with the provisions of Iowa Code section </w:t>
      </w:r>
      <w:hyperlink r:id="rId4">
        <w:r>
          <w:rPr>
            <w:rStyle w:val="Hyperlink"/>
            <w:rFonts w:ascii="Times New Roman" w:hAnsi="Times New Roman"/>
            <w:b w:val="false"/>
            <w:i w:val="false"/>
            <w:color w:val="000000"/>
            <w:sz w:val="22"/>
          </w:rPr>
          <w:t>536.4</w:t>
        </w:r>
      </w:hyperlink>
      <w:r>
        <w:rPr>
          <w:rFonts w:ascii="Times New Roman" w:hAnsi="Times New Roman"/>
          <w:b w:val="false"/>
          <w:i w:val="false"/>
          <w:color w:val="000000"/>
          <w:sz w:val="22"/>
        </w:rPr>
        <w:t xml:space="preserve"> and rule </w:t>
      </w:r>
      <w:hyperlink r:id="rId5">
        <w:r>
          <w:rPr>
            <w:rStyle w:val="Hyperlink"/>
            <w:rFonts w:ascii="Times New Roman" w:hAnsi="Times New Roman"/>
            <w:b w:val="false"/>
            <w:i w:val="false"/>
            <w:color w:val="000000"/>
            <w:sz w:val="22"/>
          </w:rPr>
          <w:t>187—15.4</w:t>
        </w:r>
      </w:hyperlink>
      <w:r>
        <w:rPr>
          <w:rFonts w:ascii="Times New Roman" w:hAnsi="Times New Roman"/>
          <w:b w:val="false"/>
          <w:i w:val="false"/>
          <w:color w:val="000000"/>
          <w:sz w:val="22"/>
        </w:rPr>
        <w:t>(17A,536).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0587D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36.4.pdf" Type="http://schemas.openxmlformats.org/officeDocument/2006/relationships/hyperlink" Id="rId4"/>
    <Relationship TargetMode="External" Target="https://www.legis.iowa.gov/docs/iac/rule/187.15.4.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