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187—15.5</w:t>
      </w:r>
      <w:r>
        <w:rPr>
          <w:rFonts w:ascii="Times New Roman" w:hAnsi="Times New Roman"/>
          <w:b/>
          <w:i w:val="false"/>
          <w:color w:val="000000"/>
          <w:sz w:val="22"/>
        </w:rPr>
        <w:t xml:space="preserve">(17A,536)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to remain authorized to make regulated loans. A license expires on the next December 31 after the license is issued, but a license granted on or after November 1 but before January 1 does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including any material change to information contained in the original application, through NMLS by December 1 of the year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for processing a renewal application submitted after December 31 or treat such an application as an application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