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187—15.3</w:t>
      </w:r>
      <w:r>
        <w:rPr>
          <w:rFonts w:ascii="Times New Roman" w:hAnsi="Times New Roman"/>
          <w:b/>
          <w:i w:val="false"/>
          <w:color w:val="000000"/>
          <w:sz w:val="22"/>
        </w:rPr>
        <w:t xml:space="preserve">(17A,536)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operate a regulated loan business in Iowa shall be submitted to the superintendent, on the form provided and with the information requested, through NMLS. The superintendent may consider an application withdrawn if it does not contain all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the application fee and the initial license fee specified in Iowa Code section </w:t>
      </w:r>
      <w:hyperlink r:id="rId4">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 The superintendent shall refund the initial license fee if the application is denied, but the application fee is not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val="false"/>
          <w:color w:val="000000"/>
          <w:sz w:val="22"/>
        </w:rPr>
        <w:t xml:space="preserve"> If any information material to the application changes after the applicant files the initial application, the applicant shall provide updated information to the superintendent within ten days of the change. When such a material change in information has occurred, the superintendent may deny an application if the applicant fails to provide updated information within the prescribed time frame. </w:t>
      </w:r>
    </w:p>
    <w:p>
      <w:pPr>
        <w:spacing w:before="0" w:after="0"/>
        <w:ind w:left="120"/>
        <w:jc w:val="both"/>
      </w:pP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regulated loan company license must file with the superintendent a bond complying with the provisions of Iowa Code section </w:t>
      </w:r>
      <w:hyperlink r:id="rId5">
        <w:r>
          <w:rPr>
            <w:rStyle w:val="Hyperlink"/>
            <w:rFonts w:ascii="Times New Roman" w:hAnsi="Times New Roman"/>
            <w:b w:val="false"/>
            <w:i w:val="false"/>
            <w:color w:val="000000"/>
            <w:sz w:val="22"/>
          </w:rPr>
          <w:t>536.3</w:t>
        </w:r>
      </w:hyperlink>
      <w:r>
        <w:rPr>
          <w:rFonts w:ascii="Times New Roman" w:hAnsi="Times New Roman"/>
          <w:b w:val="false"/>
          <w:i w:val="false"/>
          <w:color w:val="000000"/>
          <w:sz w:val="22"/>
        </w:rPr>
        <w:t xml:space="preserve">. For an applicant or a licensee who does not make, arrange, broker, process, or underwrite any residential mortgage loans as defined in Iowa Code section </w:t>
      </w:r>
      <w:hyperlink r:id="rId6">
        <w:r>
          <w:rPr>
            <w:rStyle w:val="Hyperlink"/>
            <w:rFonts w:ascii="Times New Roman" w:hAnsi="Times New Roman"/>
            <w:b w:val="false"/>
            <w:i w:val="false"/>
            <w:color w:val="000000"/>
            <w:sz w:val="22"/>
          </w:rPr>
          <w:t>535D.3(13)</w:t>
        </w:r>
      </w:hyperlink>
      <w:r>
        <w:rPr>
          <w:rFonts w:ascii="Times New Roman" w:hAnsi="Times New Roman"/>
          <w:b w:val="false"/>
          <w:i w:val="false"/>
          <w:color w:val="000000"/>
          <w:sz w:val="22"/>
        </w:rPr>
        <w:t xml:space="preserve">, the bond shall be in the amount of $25,000. For an applicant or a licensee who makes, brokers, processes, or underwrites residential mortgage loans as defined in Iowa Code section </w:t>
      </w:r>
      <w:hyperlink r:id="rId7">
        <w:r>
          <w:rPr>
            <w:rStyle w:val="Hyperlink"/>
            <w:rFonts w:ascii="Times New Roman" w:hAnsi="Times New Roman"/>
            <w:b w:val="false"/>
            <w:i w:val="false"/>
            <w:color w:val="000000"/>
            <w:sz w:val="22"/>
          </w:rPr>
          <w:t>535D.3(13)</w:t>
        </w:r>
      </w:hyperlink>
      <w:r>
        <w:rPr>
          <w:rFonts w:ascii="Times New Roman" w:hAnsi="Times New Roman"/>
          <w:b w:val="false"/>
          <w:i w:val="false"/>
          <w:color w:val="000000"/>
          <w:sz w:val="22"/>
        </w:rPr>
        <w:t>, the bond amount required to be filed and maintained shall be set and adjusted annually by March 31 using the following scale, based on the volume of residential mortgage loans made, originated, arranged, brokered, processed, and underwritten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$5,000,000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$5,000,001 – $20,000,000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$20,000,001 – $50,000,000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$50,000,001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6.2.pdf" Type="http://schemas.openxmlformats.org/officeDocument/2006/relationships/hyperlink" Id="rId4"/>
    <Relationship TargetMode="External" Target="https://www.legis.iowa.gov/docs/ico/chapter/536.3.pdf" Type="http://schemas.openxmlformats.org/officeDocument/2006/relationships/hyperlink" Id="rId5"/>
    <Relationship TargetMode="External" Target="https://www.legis.iowa.gov/docs/ico/chapter/535D.3.pdf" Type="http://schemas.openxmlformats.org/officeDocument/2006/relationships/hyperlink" Id="rId6"/>
    <Relationship TargetMode="External" Target="https://www.legis.iowa.gov/docs/ico/chapter/535D.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