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of NMLS.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 and licensing information shall be submitted through NMLS, including but not limited to the following: original application information; changes in application information; license renewal information; changes in name, location, and control; and notices of significant events.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or licensee shall pay any fees required by NMLS, including but not limited to the following: initial set-up fee and annual processing fees, background check fees, credit background check fees, and a loan sponsorship transfer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