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187—15.11</w:t>
      </w:r>
      <w:r>
        <w:rPr>
          <w:rFonts w:ascii="Times New Roman" w:hAnsi="Times New Roman"/>
          <w:b/>
          <w:i w:val="false"/>
          <w:color w:val="000000"/>
          <w:sz w:val="22"/>
        </w:rPr>
        <w:t xml:space="preserve">(17A,536)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4">
        <w:r>
          <w:rPr>
            <w:rStyle w:val="Hyperlink"/>
            <w:rFonts w:ascii="Times New Roman" w:hAnsi="Times New Roman"/>
            <w:b w:val="false"/>
            <w:i w:val="false"/>
            <w:color w:val="000000"/>
            <w:sz w:val="22"/>
          </w:rPr>
          <w:t>536.9(2)</w:t>
        </w:r>
      </w:hyperlink>
      <w:r>
        <w:rPr>
          <w:rFonts w:ascii="Times New Roman" w:hAnsi="Times New Roman"/>
          <w:b w:val="false"/>
          <w:i w:val="false"/>
          <w:color w:val="000000"/>
          <w:sz w:val="22"/>
        </w:rPr>
        <w:t xml:space="preserve"> when the superintendent makes any of the findings in Iowa Code section </w:t>
      </w:r>
      <w:hyperlink r:id="rId5">
        <w:r>
          <w:rPr>
            <w:rStyle w:val="Hyperlink"/>
            <w:rFonts w:ascii="Times New Roman" w:hAnsi="Times New Roman"/>
            <w:b w:val="false"/>
            <w:i w:val="false"/>
            <w:color w:val="000000"/>
            <w:sz w:val="22"/>
          </w:rPr>
          <w:t>536.9(1)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the licensee’s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fails to respond to an inquiry from the superintendent within 30 days of the date the superintendent mails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engage in the business of making loans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9.pdf" Type="http://schemas.openxmlformats.org/officeDocument/2006/relationships/hyperlink" Id="rId4"/>
    <Relationship TargetMode="External" Target="https://www.legis.iowa.gov/docs/ico/chapter/536.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