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187—15.10</w:t>
      </w:r>
      <w:r>
        <w:rPr>
          <w:rFonts w:ascii="Times New Roman" w:hAnsi="Times New Roman"/>
          <w:b/>
          <w:i w:val="false"/>
          <w:color w:val="000000"/>
          <w:sz w:val="22"/>
        </w:rPr>
        <w:t xml:space="preserve">(17A,536)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may, at any time and as often as the superintendent deems necessary, investigate or examine a licensee pursuant to Iowa Code section </w:t>
      </w:r>
      <w:hyperlink r:id="rId4">
        <w:r>
          <w:rPr>
            <w:rStyle w:val="Hyperlink"/>
            <w:rFonts w:ascii="Times New Roman" w:hAnsi="Times New Roman"/>
            <w:b w:val="false"/>
            <w:i w:val="false"/>
            <w:color w:val="000000"/>
            <w:sz w:val="22"/>
          </w:rPr>
          <w:t>536.10</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15.10(2)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superintendent from any source that an individual with control of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0587D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36.1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