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681—2506.32</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to the board. </w:t>
      </w:r>
      <w:r>
        <w:rPr>
          <w:rFonts w:ascii="Times New Roman" w:hAnsi="Times New Roman"/>
          <w:b w:val="false"/>
          <w:i w:val="false"/>
          <w:color w:val="000000"/>
          <w:sz w:val="22"/>
        </w:rPr>
        <w:t xml:space="preserve">This rule incorporates rule </w:t>
      </w:r>
      <w:hyperlink r:id="rId4">
        <w:r>
          <w:rPr>
            <w:rStyle w:val="Hyperlink"/>
            <w:rFonts w:ascii="Times New Roman" w:hAnsi="Times New Roman"/>
            <w:b w:val="false"/>
            <w:i w:val="false"/>
            <w:color w:val="000000"/>
            <w:sz w:val="22"/>
          </w:rPr>
          <w:t>681—2506.27</w:t>
        </w:r>
      </w:hyperlink>
      <w:r>
        <w:rPr>
          <w:rFonts w:ascii="Times New Roman" w:hAnsi="Times New Roman"/>
          <w:b w:val="false"/>
          <w:i w:val="false"/>
          <w:color w:val="000000"/>
          <w:sz w:val="22"/>
        </w:rPr>
        <w:t xml:space="preserve">(17A) with the following exceptions and amendments. More information is contained in rule </w:t>
      </w:r>
      <w:hyperlink r:id="rId5">
        <w:r>
          <w:rPr>
            <w:rStyle w:val="Hyperlink"/>
            <w:rFonts w:ascii="Times New Roman" w:hAnsi="Times New Roman"/>
            <w:b w:val="false"/>
            <w:i w:val="false"/>
            <w:color w:val="000000"/>
            <w:sz w:val="22"/>
          </w:rPr>
          <w:t>681—2506.27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the president of the regents institution’s decision to the board within ten days after issuance of the decision. In the case of an appeal of initial action by the board, any adversely affected party may appeal the proposed order of a presiding officer to the board within 20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the president of the regents institution’s decision or a proposed decision involving an appeal of board action on its own motion at any time within 20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In cases of appeals of action by an institution, a copy of the notice shall be sent to the president of the regents institution.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In a case that has not been reviewed by a president of a regents institution, a party may request to submit additional evidence. The request must be filed with the notice of appeal, if by an appealing party, or within ten days of service of the notice of appeal, if by a nonappealing party. The board will take additional evidence only if the party establishes that the evidence is material, that good cause existed for it not being presented at the hearing, and that the party has not waived the right to present the evidence. The board, or its executive director, may remand a case to the president of the regents institution for further hearing or the board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or its executive director,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arguments will be filed with the briefs. The board may resolve the appeal on the briefs or provide an opportunity for oral argument. The board, or its executive director,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2506.27.pdf" Type="http://schemas.openxmlformats.org/officeDocument/2006/relationships/hyperlink" Id="rId4"/>
    <Relationship TargetMode="External" Target="https://www.legis.iowa.gov/docs/iac/rule/681.2506.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