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used in this rule, “record system” means any group of records, under the control of the agency, from which a record may be retrieved by a personal identifier, such as the name of an individual, number, symbol, or other unique retriever assigned to an individual. The record systems maintained by the agency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Personnel and employment management information systems. The above-listed records system is collected pursuant to the authority of Iowa Code chapter </w:t>
      </w:r>
      <w:hyperlink r:id="rId4">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Storage is in paper form, and information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color w:val="000000"/>
          <w:sz w:val="22"/>
        </w:rPr>
        <w:t xml:space="preserve">State University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Human capital management systems covering payroll, benefits, time and attendance tracking and other human resources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applicant tracking systems for staff and faculty.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Compliance, training, and human resources case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Learning management, instructional technology, assessment, testing, proctoring, and course evaluation systems involving both employees and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Research proposal, award, campus data, and administration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Library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Student records, registration, degree audit, academic advising, planning, tutoring, retention, and case management systems, including student conduct, health, counseling, and wellness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Budget and planning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Student admissions, recruitment, enrollment management, scholarship and financial aid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Patient and health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Incident reporting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Purchasing, accounting, and travel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Construction/jobs management/facilities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Event ticket sales/registration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Motor pool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Housing, dining, residence life, student activities, recreation, and student engagement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Career services, experiential learning, field placement, internship, licensure, and professional preparation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Police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Credit card and point-of-sale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Customer relationship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Parking permit/registration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Student legal services document management systems.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chapters </w:t>
      </w:r>
      <w:hyperlink r:id="rId5">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263A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271</w:t>
        </w:r>
      </w:hyperlink>
      <w:r>
        <w:rPr>
          <w:rFonts w:ascii="Times New Roman" w:hAnsi="Times New Roman"/>
          <w:b w:val="false"/>
          <w:i w:val="false"/>
          <w:color w:val="000000"/>
          <w:sz w:val="22"/>
        </w:rPr>
        <w:t xml:space="preserve">. All are stored in electronic form. Supplementary records in these categories are stored in paper form or on microfilm or microfiche. Information from systems listed in paragraphs </w:t>
      </w:r>
      <w:hyperlink r:id="rId8">
        <w:r>
          <w:rPr>
            <w:rStyle w:val="Hyperlink"/>
            <w:rFonts w:ascii="Times New Roman" w:hAnsi="Times New Roman"/>
            <w:b w:val="false"/>
            <w:i w:val="false"/>
            <w:color w:val="000000"/>
            <w:sz w:val="22"/>
          </w:rPr>
          <w:t>2505.9(2)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“p”</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can be matched, collated, and compared. Information in the remaining categories cannot be matched, collated, and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color w:val="000000"/>
          <w:sz w:val="22"/>
        </w:rPr>
        <w:t xml:space="preserve">Iowa State University of Science and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Enterprise resource planning system, which includes human capital management, finance, and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Learning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proposal, award, data storage, and administration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and continuing education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Veterinary client information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Veterinary diagnostic laboratory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Library/archives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Health, counseling, pharmacy, and wellness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Housing and dining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Police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Parking systems registration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Event management, registration, and ticket sales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Workplace productivity, collaboration, and communication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Project/construction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Facilities and maintenance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Point-of-sale, billing, payment, and credit card processing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Customer relationship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Applicant, scholarship, student discipline, student scheduling, and career services information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Student scheduling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Motor pool and transportation reservation and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Travel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Student scheduling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Legal document management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Incident reporting systems.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chapters </w:t>
      </w:r>
      <w:hyperlink r:id="rId9">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262B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266</w:t>
        </w:r>
      </w:hyperlink>
      <w:r>
        <w:rPr>
          <w:rFonts w:ascii="Times New Roman" w:hAnsi="Times New Roman"/>
          <w:b w:val="false"/>
          <w:i w:val="false"/>
          <w:color w:val="000000"/>
          <w:sz w:val="22"/>
        </w:rPr>
        <w:t xml:space="preserve">. All are stored in electronic form. Duplicates or supplementary information of the electronically stored information may be found in some cases in hard copy or on microfilm or microfiche. Information from systems listed in paragraphs </w:t>
      </w:r>
      <w:hyperlink r:id="rId12">
        <w:r>
          <w:rPr>
            <w:rStyle w:val="Hyperlink"/>
            <w:rFonts w:ascii="Times New Roman" w:hAnsi="Times New Roman"/>
            <w:b w:val="false"/>
            <w:i w:val="false"/>
            <w:color w:val="000000"/>
            <w:sz w:val="22"/>
          </w:rPr>
          <w:t>2505.9(3)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color w:val="000000"/>
          <w:sz w:val="22"/>
        </w:rPr>
        <w:t>“g,”</w:t>
      </w:r>
      <w:r>
        <w:rPr>
          <w:rFonts w:ascii="Times New Roman" w:hAnsi="Times New Roman"/>
          <w:b w:val="false"/>
          <w:i/>
          <w:color w:val="000000"/>
          <w:sz w:val="22"/>
        </w:rPr>
        <w:t>“j,”</w:t>
      </w:r>
      <w:r>
        <w:rPr>
          <w:rFonts w:ascii="Times New Roman" w:hAnsi="Times New Roman"/>
          <w:b w:val="false"/>
          <w:i/>
          <w:color w:val="000000"/>
          <w:sz w:val="22"/>
        </w:rPr>
        <w:t>“m,”</w:t>
      </w:r>
      <w:r>
        <w:rPr>
          <w:rFonts w:ascii="Times New Roman" w:hAnsi="Times New Roman"/>
          <w:b w:val="false"/>
          <w:i/>
          <w:color w:val="000000"/>
          <w:sz w:val="22"/>
        </w:rPr>
        <w:t>“p,”</w:t>
      </w:r>
      <w:r>
        <w:rPr>
          <w:rFonts w:ascii="Times New Roman" w:hAnsi="Times New Roman"/>
          <w:b w:val="false"/>
          <w:i/>
          <w:color w:val="000000"/>
          <w:sz w:val="22"/>
        </w:rPr>
        <w:t>“q,”</w:t>
      </w:r>
      <w:r>
        <w:rPr>
          <w:rFonts w:ascii="Times New Roman" w:hAnsi="Times New Roman"/>
          <w:b w:val="false"/>
          <w:i/>
          <w:color w:val="000000"/>
          <w:sz w:val="22"/>
        </w:rPr>
        <w:t>“s,”</w:t>
      </w:r>
      <w:r>
        <w:rPr>
          <w:rFonts w:ascii="Times New Roman" w:hAnsi="Times New Roman"/>
          <w:b w:val="false"/>
          <w:i/>
          <w:color w:val="000000"/>
          <w:sz w:val="22"/>
        </w:rPr>
        <w:t>“t,”</w:t>
      </w:r>
      <w:r>
        <w:rPr>
          <w:rFonts w:ascii="Times New Roman" w:hAnsi="Times New Roman"/>
          <w:b w:val="false"/>
          <w:i/>
          <w:color w:val="000000"/>
          <w:sz w:val="22"/>
        </w:rPr>
        <w:t>“v,”</w:t>
      </w:r>
      <w:r>
        <w:rPr>
          <w:rFonts w:ascii="Times New Roman" w:hAnsi="Times New Roman"/>
          <w:b w:val="false"/>
          <w:i/>
          <w:color w:val="000000"/>
          <w:sz w:val="22"/>
        </w:rPr>
        <w:t>“w,”</w:t>
      </w:r>
      <w:r>
        <w:rPr>
          <w:rFonts w:ascii="Times New Roman" w:hAnsi="Times New Roman"/>
          <w:b w:val="false"/>
          <w:i w:val="false"/>
          <w:color w:val="000000"/>
          <w:sz w:val="22"/>
        </w:rPr>
        <w:t xml:space="preserve"> and </w:t>
      </w:r>
      <w:r>
        <w:rPr>
          <w:rFonts w:ascii="Times New Roman" w:hAnsi="Times New Roman"/>
          <w:b w:val="false"/>
          <w:i/>
          <w:color w:val="000000"/>
          <w:sz w:val="22"/>
        </w:rPr>
        <w:t>“y”</w:t>
      </w:r>
      <w:r>
        <w:rPr>
          <w:rFonts w:ascii="Times New Roman" w:hAnsi="Times New Roman"/>
          <w:b w:val="false"/>
          <w:i w:val="false"/>
          <w:color w:val="000000"/>
          <w:sz w:val="22"/>
        </w:rPr>
        <w:t xml:space="preserve"> can be matched, collated, and compared with other records systems, primarily with the enterprise resource planning system (more information is contained in paragraph </w:t>
      </w:r>
      <w:hyperlink r:id="rId13">
        <w:r>
          <w:rPr>
            <w:rStyle w:val="Hyperlink"/>
            <w:rFonts w:ascii="Times New Roman" w:hAnsi="Times New Roman"/>
            <w:b w:val="false"/>
            <w:i w:val="false"/>
            <w:color w:val="000000"/>
            <w:sz w:val="22"/>
          </w:rPr>
          <w:t>2505.9(3)</w:t>
        </w:r>
      </w:hyperlink>
      <w:r>
        <w:rPr>
          <w:rFonts w:ascii="Times New Roman" w:hAnsi="Times New Roman"/>
          <w:b w:val="false"/>
          <w:i/>
          <w:color w:val="000000"/>
          <w:sz w:val="22"/>
        </w:rPr>
        <w:t>“a”</w:t>
      </w:r>
      <w:r>
        <w:rPr>
          <w:rFonts w:ascii="Times New Roman" w:hAnsi="Times New Roman"/>
          <w:b w:val="false"/>
          <w:i w:val="false"/>
          <w:color w:val="000000"/>
          <w:sz w:val="22"/>
        </w:rPr>
        <w:t>). The remaining categories cannot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2505.9(4)</w:t>
      </w:r>
      <w:r>
        <w:rPr>
          <w:rFonts w:ascii="Times New Roman" w:hAnsi="Times New Roman"/>
          <w:b w:val="false"/>
          <w:i w:val="false"/>
          <w:color w:val="000000"/>
          <w:sz w:val="22"/>
        </w:rPr>
        <w:t> </w:t>
      </w:r>
      <w:r>
        <w:rPr>
          <w:rFonts w:ascii="Times New Roman" w:hAnsi="Times New Roman"/>
          <w:b w:val="false"/>
          <w:i/>
          <w:color w:val="000000"/>
          <w:sz w:val="22"/>
        </w:rPr>
        <w:t xml:space="preserve">University of Northern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Academic achievement center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advising/orientation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computing center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Accounts receivable/payable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Admissions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Affirmative action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Alumni foundation/development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Architect/planning/engineering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Athletic department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Budget management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College of education/school of business advising center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Continuing education/correspondence/extension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Financial aid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Grants and contracts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Housing/dining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Library/archives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Human capital management/budget/payroll/learning management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Facilities and maintenance information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Purchasing/inventory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School of business division of external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Student information systems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Student union/student activities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*Academic affairs information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*Ancillary services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*Counseling/health/pharmacy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*Deans/department heads/faculty advisors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*Handicapped services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*Institutional officials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*Institutional research records systems, including social/behavioral research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*Operations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*Placement/career center/cooperative education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*Public safety records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*Small business assistance center (hazardous waste)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*Special events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*Speech/hearing/reading clinics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*Student clinical experience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*United faculty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w:t>
      </w:r>
      <w:r>
        <w:rPr>
          <w:rFonts w:ascii="Times New Roman" w:hAnsi="Times New Roman"/>
          <w:b w:val="false"/>
          <w:i w:val="false"/>
          <w:color w:val="000000"/>
          <w:sz w:val="22"/>
        </w:rPr>
        <w:t>  </w:t>
      </w:r>
      <w:r>
        <w:rPr>
          <w:rFonts w:ascii="Times New Roman" w:hAnsi="Times New Roman"/>
          <w:b w:val="false"/>
          <w:i w:val="false"/>
          <w:color w:val="000000"/>
          <w:sz w:val="22"/>
        </w:rPr>
        <w:t>*UNISA records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w:t>
      </w:r>
      <w:r>
        <w:rPr>
          <w:rFonts w:ascii="Times New Roman" w:hAnsi="Times New Roman"/>
          <w:b w:val="false"/>
          <w:i w:val="false"/>
          <w:color w:val="000000"/>
          <w:sz w:val="22"/>
        </w:rPr>
        <w:t>  </w:t>
      </w:r>
      <w:r>
        <w:rPr>
          <w:rFonts w:ascii="Times New Roman" w:hAnsi="Times New Roman"/>
          <w:b w:val="false"/>
          <w:i w:val="false"/>
          <w:color w:val="000000"/>
          <w:sz w:val="22"/>
        </w:rPr>
        <w:t>Motor pool and transportation reservation and management system.</w:t>
      </w:r>
    </w:p>
    <w:p>
      <w:pPr>
        <w:spacing w:before="0" w:after="0"/>
        <w:ind w:left="120"/>
        <w:jc w:val="both"/>
      </w:pPr>
      <w:r>
        <w:rPr>
          <w:rFonts w:ascii="Times New Roman" w:hAnsi="Times New Roman"/>
          <w:b w:val="false"/>
          <w:i w:val="false"/>
          <w:color w:val="000000"/>
          <w:sz w:val="22"/>
        </w:rPr>
        <w:t xml:space="preserve">All of the above-listed records systems are collected pursuant to the authority of Iowa Code chapters </w:t>
      </w:r>
      <w:hyperlink r:id="rId14">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262A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265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268</w:t>
        </w:r>
      </w:hyperlink>
      <w:r>
        <w:rPr>
          <w:rFonts w:ascii="Times New Roman" w:hAnsi="Times New Roman"/>
          <w:b w:val="false"/>
          <w:i w:val="false"/>
          <w:color w:val="000000"/>
          <w:sz w:val="22"/>
        </w:rPr>
        <w:t>. Means of storage include electronic unless otherwise noted. Moreover, some records may also be stored in micrographic or paper forms. All or parts of information in each system may be matched, collated, and compared, except for those systems noted by an asterisk (*).</w:t>
      </w:r>
    </w:p>
    <w:p>
      <w:pPr>
        <w:spacing w:before="0" w:after="0"/>
        <w:ind w:left="120"/>
        <w:jc w:val="both"/>
      </w:pPr>
      <w:r>
        <w:rPr>
          <w:rFonts w:ascii="Times New Roman" w:hAnsi="Times New Roman"/>
          <w:b w:val="false"/>
          <w:i w:val="false"/>
          <w:color w:val="000000"/>
          <w:sz w:val="22"/>
        </w:rPr>
        <w:t># Storage in paper or micrographic form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2.pdf" Type="http://schemas.openxmlformats.org/officeDocument/2006/relationships/hyperlink" Id="rId4"/>
    <Relationship TargetMode="External" Target="https://www.legis.iowa.gov/docs/ico/chapter/262.pdf" Type="http://schemas.openxmlformats.org/officeDocument/2006/relationships/hyperlink" Id="rId5"/>
    <Relationship TargetMode="External" Target="https://www.legis.iowa.gov/docs/ico/chapter/263A.pdf" Type="http://schemas.openxmlformats.org/officeDocument/2006/relationships/hyperlink" Id="rId6"/>
    <Relationship TargetMode="External" Target="https://www.legis.iowa.gov/docs/ico/chapter/271.pdf" Type="http://schemas.openxmlformats.org/officeDocument/2006/relationships/hyperlink" Id="rId7"/>
    <Relationship TargetMode="External" Target="https://www.legis.iowa.gov/docs/iac/rule/681.2505.9.pdf" Type="http://schemas.openxmlformats.org/officeDocument/2006/relationships/hyperlink" Id="rId8"/>
    <Relationship TargetMode="External" Target="https://www.legis.iowa.gov/docs/ico/chapter/262.pdf" Type="http://schemas.openxmlformats.org/officeDocument/2006/relationships/hyperlink" Id="rId9"/>
    <Relationship TargetMode="External" Target="https://www.legis.iowa.gov/docs/ico/chapter/262B.pdf" Type="http://schemas.openxmlformats.org/officeDocument/2006/relationships/hyperlink" Id="rId10"/>
    <Relationship TargetMode="External" Target="https://www.legis.iowa.gov/docs/ico/chapter/266.pdf" Type="http://schemas.openxmlformats.org/officeDocument/2006/relationships/hyperlink" Id="rId11"/>
    <Relationship TargetMode="External" Target="https://www.legis.iowa.gov/docs/iac/rule/681.2505.9.pdf" Type="http://schemas.openxmlformats.org/officeDocument/2006/relationships/hyperlink" Id="rId12"/>
    <Relationship TargetMode="External" Target="https://www.legis.iowa.gov/docs/iac/rule/681.2505.9.pdf" Type="http://schemas.openxmlformats.org/officeDocument/2006/relationships/hyperlink" Id="rId13"/>
    <Relationship TargetMode="External" Target="https://www.legis.iowa.gov/docs/ico/chapter/262.pdf" Type="http://schemas.openxmlformats.org/officeDocument/2006/relationships/hyperlink" Id="rId14"/>
    <Relationship TargetMode="External" Target="https://www.legis.iowa.gov/docs/ico/chapter/262A.pdf" Type="http://schemas.openxmlformats.org/officeDocument/2006/relationships/hyperlink" Id="rId15"/>
    <Relationship TargetMode="External" Target="https://www.legis.iowa.gov/docs/ico/chapter/265.pdf" Type="http://schemas.openxmlformats.org/officeDocument/2006/relationships/hyperlink" Id="rId16"/>
    <Relationship TargetMode="External" Target="https://www.legis.iowa.gov/docs/ico/chapter/268.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