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681—2505.10</w:t>
      </w:r>
      <w:r>
        <w:rPr>
          <w:rFonts w:ascii="Times New Roman" w:hAnsi="Times New Roman"/>
          <w:b/>
          <w:i w:val="false"/>
          <w:color w:val="000000"/>
          <w:sz w:val="22"/>
        </w:rPr>
        <w:t xml:space="preserve">(22)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This rule describes agency records not maintained in a record system. These records are routinely available to the public but may contain confidential information. In addition, some records may contain information about individuals. Unless otherwise noted, these records are available on the board’s website or at the board office and are not retrieved by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val="false"/>
          <w:color w:val="000000"/>
          <w:sz w:val="22"/>
        </w:rPr>
        <w:t xml:space="preserve">Rulemaking. Rulemaking records may contain information about individuals making written or oral comments on proposed rules pursuant to Iowa Code section </w:t>
      </w:r>
      <w:hyperlink r:id="rId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records. Agendas, minutes, and materials presented to the board are available, except for records concerning closed sessions that are confidential under Iowa Code section </w:t>
      </w:r>
      <w:hyperlink r:id="rId5">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and other provisions of law. Board records contain information about people who participate in meetings. This information is collected pursuant to Iowa Code section </w:t>
      </w:r>
      <w:hyperlink r:id="rId6">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2505.10(3)</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annual reports, project reports, agency newsletters, etc., are available through the institutions’ offices for public information. Brochures describing various agency programs are available at local offices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2505.10(4)</w:t>
      </w:r>
      <w:r>
        <w:rPr>
          <w:rFonts w:ascii="Times New Roman" w:hAnsi="Times New Roman"/>
          <w:b w:val="false"/>
          <w:i w:val="false"/>
          <w:color w:val="000000"/>
          <w:sz w:val="22"/>
        </w:rPr>
        <w:t> </w:t>
      </w:r>
      <w:r>
        <w:rPr>
          <w:rFonts w:ascii="Times New Roman" w:hAnsi="Times New Roman"/>
          <w:b w:val="false"/>
          <w:i w:val="false"/>
          <w:color w:val="000000"/>
          <w:sz w:val="22"/>
        </w:rPr>
        <w:t>Statistical reports. Periodic reports for various agency programs are available through the institutions’ offices for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2505.10(5)</w:t>
      </w:r>
      <w:r>
        <w:rPr>
          <w:rFonts w:ascii="Times New Roman" w:hAnsi="Times New Roman"/>
          <w:b w:val="false"/>
          <w:i w:val="false"/>
          <w:color w:val="000000"/>
          <w:sz w:val="22"/>
        </w:rPr>
        <w:t> </w:t>
      </w:r>
      <w:r>
        <w:rPr>
          <w:rFonts w:ascii="Times New Roman" w:hAnsi="Times New Roman"/>
          <w:b w:val="false"/>
          <w:i w:val="false"/>
          <w:color w:val="000000"/>
          <w:sz w:val="22"/>
        </w:rPr>
        <w:t>Grants. Records on persons receiving grants are available through the institutions’ offices for public information. The records may contain information about employees of a grantee.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2505.10(6)</w:t>
      </w:r>
      <w:r>
        <w:rPr>
          <w:rFonts w:ascii="Times New Roman" w:hAnsi="Times New Roman"/>
          <w:b w:val="false"/>
          <w:i w:val="false"/>
          <w:color w:val="000000"/>
          <w:sz w:val="22"/>
        </w:rPr>
        <w:t> </w:t>
      </w:r>
      <w:r>
        <w:rPr>
          <w:rFonts w:ascii="Times New Roman" w:hAnsi="Times New Roman"/>
          <w:b w:val="false"/>
          <w:i w:val="false"/>
          <w:color w:val="000000"/>
          <w:sz w:val="22"/>
        </w:rPr>
        <w:t>Published materials. 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2505.10(7)</w:t>
      </w:r>
      <w:r>
        <w:rPr>
          <w:rFonts w:ascii="Times New Roman" w:hAnsi="Times New Roman"/>
          <w:b w:val="false"/>
          <w:i w:val="false"/>
          <w:color w:val="000000"/>
          <w:sz w:val="22"/>
        </w:rPr>
        <w:t> </w:t>
      </w:r>
      <w:r>
        <w:rPr>
          <w:rFonts w:ascii="Times New Roman" w:hAnsi="Times New Roman"/>
          <w:b w:val="false"/>
          <w:i w:val="false"/>
          <w:color w:val="000000"/>
          <w:sz w:val="22"/>
        </w:rPr>
        <w:t>Policy manuals. The agency employees’ manual, containing the policies and procedures for programs administered by the agency, is available in every office of the agency.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2505.10(8)</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 The agency maintains a variety of records that do not generally contain information pertaining to named individuals.</w:t>
      </w:r>
    </w:p>
    <w:p>
      <w:pPr>
        <w:spacing w:before="0" w:after="0"/>
        <w:ind w:left="120"/>
        <w:jc w:val="both"/>
      </w:pPr>
      <w:r>
        <w:rPr>
          <w:rFonts w:ascii="Times New Roman" w:hAnsi="Times New Roman"/>
          <w:b w:val="false"/>
          <w:i w:val="false"/>
          <w:color w:val="000000"/>
          <w:sz w:val="22"/>
        </w:rPr>
        <w:t>All data processing systems used by the agency permit the comparison of personally identifiable information in one record system with personally identifiable information in another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0554D</w:t>
      </w:r>
      <w:r>
        <w:rPr>
          <w:rFonts w:ascii="Times New Roman" w:hAnsi="Times New Roman"/>
          <w:b w:val="false"/>
          <w:i w:val="false"/>
          <w:color w:val="000000"/>
          <w:sz w:val="16"/>
        </w:rPr>
        <w:t>, IAB 9/2/26, effective 8/13/26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 TargetMode="External" Target="https://www.legis.iowa.gov/docs/ico/chapter/21.5.pdf" Type="http://schemas.openxmlformats.org/officeDocument/2006/relationships/hyperlink" Id="rId5"/>
    <Relationship TargetMode="External" Target="https://www.legis.iowa.gov/docs/ico/chapter/21.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