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61—39.2</w:t>
      </w:r>
      <w:r>
        <w:rPr>
          <w:rFonts w:ascii="Times New Roman" w:hAnsi="Times New Roman"/>
          <w:b/>
          <w:i w:val="false"/>
          <w:color w:val="000000"/>
          <w:sz w:val="22"/>
        </w:rPr>
        <w:t xml:space="preserve">(12) </w:t>
      </w:r>
      <w:r>
        <w:rPr>
          <w:rFonts w:ascii="Times New Roman" w:hAnsi="Times New Roman"/>
          <w:b/>
          <w:i w:val="false"/>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39.2(1)</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Requests containing eligible projects shall be submitted to the department in accordance with the notice of funding opportunity and application process. Each request shall include the intended outcomes of the project or projects. The department may request additional information not listed on the notice of funding opportunity or application process from the applicants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39.2(2)</w:t>
      </w:r>
      <w:r>
        <w:rPr>
          <w:rFonts w:ascii="Times New Roman" w:hAnsi="Times New Roman"/>
          <w:b w:val="false"/>
          <w:i w:val="false"/>
          <w:color w:val="000000"/>
          <w:sz w:val="22"/>
        </w:rPr>
        <w:t> </w:t>
      </w:r>
      <w:r>
        <w:rPr>
          <w:rFonts w:ascii="Times New Roman" w:hAnsi="Times New Roman"/>
          <w:b w:val="false"/>
          <w:i/>
          <w:color w:val="000000"/>
          <w:sz w:val="22"/>
        </w:rPr>
        <w:t xml:space="preserve">Awards. </w:t>
      </w:r>
      <w:r>
        <w:rPr>
          <w:rFonts w:ascii="Times New Roman" w:hAnsi="Times New Roman"/>
          <w:b w:val="false"/>
          <w:i w:val="false"/>
          <w:color w:val="000000"/>
          <w:sz w:val="22"/>
        </w:rPr>
        <w:t xml:space="preserve">The department reserves the right to award funds to applicants, partially award funds to applicants, or withhold distribution of opioid settlement funds from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39.2(3)</w:t>
      </w:r>
      <w:r>
        <w:rPr>
          <w:rFonts w:ascii="Times New Roman" w:hAnsi="Times New Roman"/>
          <w:b w:val="false"/>
          <w:i w:val="false"/>
          <w:color w:val="000000"/>
          <w:sz w:val="22"/>
        </w:rPr>
        <w:t> </w:t>
      </w:r>
      <w:r>
        <w:rPr>
          <w:rFonts w:ascii="Times New Roman" w:hAnsi="Times New Roman"/>
          <w:b w:val="false"/>
          <w:i/>
          <w:color w:val="000000"/>
          <w:sz w:val="22"/>
        </w:rPr>
        <w:t xml:space="preserve">Individual contract requirement. </w:t>
      </w:r>
      <w:r>
        <w:rPr>
          <w:rFonts w:ascii="Times New Roman" w:hAnsi="Times New Roman"/>
          <w:b w:val="false"/>
          <w:i w:val="false"/>
          <w:color w:val="000000"/>
          <w:sz w:val="22"/>
        </w:rPr>
        <w:t>Any applicant selected as a potential recipient of opioid settlement funds must execute an agreement with the department to complete the award. Any award of opioid settlement funds will be subject to any terms and conditions the department sets forth in that agreement. The failure to agree to contractual terms will result in no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department is not required to notify each applicant regarding the approval or denial of the applicant’s funding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0555D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