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61—39.1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“Applicant”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or entity that applies for funding from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“Application process”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set of rules, requirements, and procedures outlined in the notice of funding opportunity on the department’s website that applicants must follow to apply for opioid settlement funding.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 of justice and the Iowa attorney general’s office.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“Eligible projects”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projects that fall within the national opioid settlement’s listed core strategies and approved uses.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“Fund”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state of Iowa’s opioid settlement fund as described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12.51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“Intended outcomes”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specific goals, impacts, or measurable results that a proposed project or program aims to achieve. These outcomes include but are not limited to prevention of opioid-related deaths, reduction of opioid misuse, and increased access to opioid-use disorder medications and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“Notice of funding opportunity”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department’s solicitation for proposals for the use of opioid settlement dollars to support eligible projects.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“Request”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applications for funding submitted to the department by applicants.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0555D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9/2/26, effective 10/7/26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2.5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