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481—880.20</w:t>
      </w:r>
      <w:r>
        <w:rPr>
          <w:rFonts w:ascii="Times New Roman" w:hAnsi="Times New Roman"/>
          <w:b/>
          <w:i w:val="false"/>
          <w:color w:val="000000"/>
          <w:sz w:val="22"/>
        </w:rPr>
        <w:t xml:space="preserve">(154D) </w:t>
      </w:r>
      <w:r>
        <w:rPr>
          <w:rFonts w:ascii="Times New Roman" w:hAnsi="Times New Roman"/>
          <w:b/>
          <w:i w:val="false"/>
          <w:color w:val="000000"/>
          <w:sz w:val="22"/>
        </w:rPr>
        <w:t xml:space="preserve">Temporary licensees. </w:t>
      </w:r>
      <w:r>
        <w:rPr>
          <w:rFonts w:ascii="Times New Roman" w:hAnsi="Times New Roman"/>
          <w:b w:val="false"/>
          <w:i w:val="false"/>
          <w:color w:val="000000"/>
          <w:sz w:val="22"/>
        </w:rPr>
        <w:t>A temporary licensee shall engage only in the practice of marital and family therapy or mental health counseling as part of an agency or group practice with oversight over the temporary licensee. The agency or group practice shall have at least one independently licensed mental health provider. A temporary licensee shall not practice as a solo practitioner or solely with other temporary licensees.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 xml:space="preserve">; </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