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481—880.2</w:t>
      </w:r>
      <w:r>
        <w:rPr>
          <w:rFonts w:ascii="Times New Roman" w:hAnsi="Times New Roman"/>
          <w:b/>
          <w:i w:val="false"/>
          <w:color w:val="000000"/>
          <w:sz w:val="22"/>
        </w:rPr>
        <w:t xml:space="preserve">(154B,154C,154D) </w:t>
      </w:r>
      <w:r>
        <w:rPr>
          <w:rFonts w:ascii="Times New Roman" w:hAnsi="Times New Roman"/>
          <w:b/>
          <w:i w:val="false"/>
          <w:color w:val="000000"/>
          <w:sz w:val="22"/>
        </w:rPr>
        <w:t xml:space="preserve">License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880.2(1)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permanent and temporary licensure as a mental health counselor or marriage and family therapist. </w:t>
      </w:r>
      <w:r>
        <w:rPr>
          <w:rFonts w:ascii="Times New Roman" w:hAnsi="Times New Roman"/>
          <w:b w:val="false"/>
          <w:i w:val="false"/>
          <w:color w:val="000000"/>
          <w:sz w:val="22"/>
        </w:rPr>
        <w:t>The following criteria shall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shall submit a completed online application for licensure and pay the nonrefundable licensure fee specified in rule </w:t>
      </w:r>
      <w:hyperlink r:id="rId4">
        <w:r>
          <w:rPr>
            <w:rStyle w:val="Hyperlink"/>
            <w:rFonts w:ascii="Times New Roman" w:hAnsi="Times New Roman"/>
            <w:b w:val="false"/>
            <w:i w:val="false"/>
            <w:color w:val="000000"/>
            <w:sz w:val="22"/>
          </w:rPr>
          <w:t>481—507.3</w:t>
        </w:r>
      </w:hyperlink>
      <w:r>
        <w:rPr>
          <w:rFonts w:ascii="Times New Roman" w:hAnsi="Times New Roman"/>
          <w:b w:val="false"/>
          <w:i w:val="false"/>
          <w:color w:val="000000"/>
          <w:sz w:val="22"/>
        </w:rPr>
        <w:t>(147,154D).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for a mental health counseling license shall submit required waivers and fingerprints pursuant to the board-approved process to facilitate a national criminal history background check by the DCI and the FBI. The cost of the criminal history background check by the DCI and the FBI shall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application will be considered by the board until official copies of academic transcripts sent directly from the school to the board have been received by the board or an equivalency evaluation completed by the CCE has been received by the board. The applicant shall present proof of meeting the educational requirements. Documentation of such proof shall be on file in the board office with the application and include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licensure as a marital and family therapist, an official transcript verifying completion of a marital and family therapy program accredited by the Commission on Accreditation for Marriage and Family Therapy Education (COAMFTE) as defined in paragraph </w:t>
      </w:r>
      <w:hyperlink r:id="rId5">
        <w:r>
          <w:rPr>
            <w:rStyle w:val="Hyperlink"/>
            <w:rFonts w:ascii="Times New Roman" w:hAnsi="Times New Roman"/>
            <w:b w:val="false"/>
            <w:i w:val="false"/>
            <w:color w:val="000000"/>
            <w:sz w:val="22"/>
          </w:rPr>
          <w:t>880.4(1)</w:t>
        </w:r>
      </w:hyperlink>
      <w:r>
        <w:rPr>
          <w:rFonts w:ascii="Times New Roman" w:hAnsi="Times New Roman"/>
          <w:b w:val="false"/>
          <w:i/>
          <w:color w:val="000000"/>
          <w:sz w:val="22"/>
        </w:rPr>
        <w:t>“a”</w:t>
      </w:r>
      <w:r>
        <w:rPr>
          <w:rFonts w:ascii="Times New Roman" w:hAnsi="Times New Roman"/>
          <w:b w:val="false"/>
          <w:i w:val="false"/>
          <w:color w:val="000000"/>
          <w:sz w:val="22"/>
        </w:rPr>
        <w:t xml:space="preserve"> or an equivalency evaluation of the applicant’s educational credentials completed by the CCE as defined in paragraph </w:t>
      </w:r>
      <w:hyperlink r:id="rId6">
        <w:r>
          <w:rPr>
            <w:rStyle w:val="Hyperlink"/>
            <w:rFonts w:ascii="Times New Roman" w:hAnsi="Times New Roman"/>
            <w:b w:val="false"/>
            <w:i w:val="false"/>
            <w:color w:val="000000"/>
            <w:sz w:val="22"/>
          </w:rPr>
          <w:t>880.4(1)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licensure as a mental health counselor, an official transcript verifying completion of a mental health counseling program accredited by the Council on Accreditation of Counseling and Related Educational Programs (CACREP) as defined in paragraph </w:t>
      </w:r>
      <w:hyperlink r:id="rId7">
        <w:r>
          <w:rPr>
            <w:rStyle w:val="Hyperlink"/>
            <w:rFonts w:ascii="Times New Roman" w:hAnsi="Times New Roman"/>
            <w:b w:val="false"/>
            <w:i w:val="false"/>
            <w:color w:val="000000"/>
            <w:sz w:val="22"/>
          </w:rPr>
          <w:t>880.4(2)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an equivalency evaluation of the applicant’s educational credentials completed by the CCE as defined in paragraph </w:t>
      </w:r>
      <w:hyperlink r:id="rId8">
        <w:r>
          <w:rPr>
            <w:rStyle w:val="Hyperlink"/>
            <w:rFonts w:ascii="Times New Roman" w:hAnsi="Times New Roman"/>
            <w:b w:val="false"/>
            <w:i w:val="false"/>
            <w:color w:val="000000"/>
            <w:sz w:val="22"/>
          </w:rPr>
          <w:t>880.4(2)</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is required to take the examination(s) provided in subrule </w:t>
      </w:r>
      <w:hyperlink r:id="rId9">
        <w:r>
          <w:rPr>
            <w:rStyle w:val="Hyperlink"/>
            <w:rFonts w:ascii="Times New Roman" w:hAnsi="Times New Roman"/>
            <w:b w:val="false"/>
            <w:i w:val="false"/>
            <w:color w:val="000000"/>
            <w:sz w:val="22"/>
          </w:rPr>
          <w:t>880.3(1)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for permanent licensure shall submit the required attestation of supervision forms documenting clinical experience as required in rule </w:t>
      </w:r>
      <w:hyperlink r:id="rId10">
        <w:r>
          <w:rPr>
            <w:rStyle w:val="Hyperlink"/>
            <w:rFonts w:ascii="Times New Roman" w:hAnsi="Times New Roman"/>
            <w:b w:val="false"/>
            <w:i w:val="false"/>
            <w:color w:val="000000"/>
            <w:sz w:val="22"/>
          </w:rPr>
          <w:t>481—880.7</w:t>
        </w:r>
      </w:hyperlink>
      <w:r>
        <w:rPr>
          <w:rFonts w:ascii="Times New Roman" w:hAnsi="Times New Roman"/>
          <w:b w:val="false"/>
          <w:i w:val="false"/>
          <w:color w:val="000000"/>
          <w:sz w:val="22"/>
        </w:rPr>
        <w:t>(154D).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applicant for temporary licensure must submit a supervision plan to the board prior to licensure. Within 30 days of completion of the supervised clinical experience, the attestation of the completed supervised experience must be submitted to the board office. The temporary licensee shall remain under supervision until a permanent license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temporary license is only valid for the purpose of fulfilling the postgraduate supervised clinical experience requirement. It is valid for three years and may be renewed at the discretion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licensee who was issued an initial permanent license within six months prior to the renewal shall not be required to renew the license until the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An application for a temporary or permanent license will be considered active for two years from the date the application is received. If the applicant does not submit all materials within this time period or if the applicant does not meet the requirements for the license, the application shall be considered incomplete. An applicant whose application is filed incomplete must submit a new application, supporting materials, and the application fee. The board shall destroy incomplete applications after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880.2(2)</w:t>
      </w:r>
      <w:r>
        <w:rPr>
          <w:rFonts w:ascii="Times New Roman" w:hAnsi="Times New Roman"/>
          <w:b w:val="false"/>
          <w:i w:val="false"/>
          <w:color w:val="000000"/>
          <w:sz w:val="22"/>
        </w:rPr>
        <w:t> </w:t>
      </w:r>
      <w:r>
        <w:rPr>
          <w:rFonts w:ascii="Times New Roman" w:hAnsi="Times New Roman"/>
          <w:b w:val="false"/>
          <w:i/>
          <w:color w:val="000000"/>
          <w:sz w:val="22"/>
        </w:rPr>
        <w:t xml:space="preserve">Licensure of behavior analysts and assistant behavior analysts.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submit a completed application for licensure and pay the nonrefundable licensure fee specified in rule </w:t>
      </w:r>
      <w:hyperlink r:id="rId11">
        <w:r>
          <w:rPr>
            <w:rStyle w:val="Hyperlink"/>
            <w:rFonts w:ascii="Times New Roman" w:hAnsi="Times New Roman"/>
            <w:b w:val="false"/>
            <w:i w:val="false"/>
            <w:color w:val="000000"/>
            <w:sz w:val="22"/>
          </w:rPr>
          <w:t>481—507.3</w:t>
        </w:r>
      </w:hyperlink>
      <w:r>
        <w:rPr>
          <w:rFonts w:ascii="Times New Roman" w:hAnsi="Times New Roman"/>
          <w:b w:val="false"/>
          <w:i w:val="false"/>
          <w:color w:val="000000"/>
          <w:sz w:val="22"/>
        </w:rPr>
        <w:t>(147,154D).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licensure as a behavior analyst, the applicant shall submit proof of current BACB certification as a board-certified behavior analyst or board-certified behavior analyst-doctoral. For licensure as an assistant behavior analyst, the applicant shall submit proof of current BACB certification as a board-certified assistant behavior analyst.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880.2(3)</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initial psychology licensure. </w:t>
      </w:r>
      <w:r>
        <w:rPr>
          <w:rFonts w:ascii="Times New Roman" w:hAnsi="Times New Roman"/>
          <w:b w:val="false"/>
          <w:i w:val="false"/>
          <w:color w:val="000000"/>
          <w:sz w:val="22"/>
        </w:rPr>
        <w:t>The following criteria shall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submit a completed application for licensure and pay the nonrefundable licensure fee specified in rule </w:t>
      </w:r>
      <w:hyperlink r:id="rId12">
        <w:r>
          <w:rPr>
            <w:rStyle w:val="Hyperlink"/>
            <w:rFonts w:ascii="Times New Roman" w:hAnsi="Times New Roman"/>
            <w:b w:val="false"/>
            <w:i w:val="false"/>
            <w:color w:val="000000"/>
            <w:sz w:val="22"/>
          </w:rPr>
          <w:t>481—507.16</w:t>
        </w:r>
      </w:hyperlink>
      <w:r>
        <w:rPr>
          <w:rFonts w:ascii="Times New Roman" w:hAnsi="Times New Roman"/>
          <w:b w:val="false"/>
          <w:i w:val="false"/>
          <w:color w:val="000000"/>
          <w:sz w:val="22"/>
        </w:rPr>
        <w:t>(147,154B).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as otherwise stated in these rules, no application will be considered by the board until: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Official copies of academic transcripts sent directly from the school to the board have been received by the board;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Satisfactory evidence of the candidate’s qualifications has been supplied in writing on the prescribed forms by the candidate’s supervisors.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shall successfully pass the national Examination for Professional Practice in Psychology (EPPP).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shall have the national examination score sent directly from the ASPPB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without additional supporting documentation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shall be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Maintained upon written request of the applicant. The applicant is responsible for requesting that the file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880.2(4)</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provisional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Predoctoral internship. </w:t>
      </w:r>
      <w:r>
        <w:rPr>
          <w:rFonts w:ascii="Times New Roman" w:hAnsi="Times New Roman"/>
          <w:b w:val="false"/>
          <w:i w:val="false"/>
          <w:color w:val="000000"/>
          <w:sz w:val="22"/>
        </w:rPr>
        <w:t>An applicant for a provisional license for purposes of completing a predoctoral internship shall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completed provisional application for licensure and the nonrefundable licensure fee specified in rule </w:t>
      </w:r>
      <w:hyperlink r:id="rId13">
        <w:r>
          <w:rPr>
            <w:rStyle w:val="Hyperlink"/>
            <w:rFonts w:ascii="Times New Roman" w:hAnsi="Times New Roman"/>
            <w:b w:val="false"/>
            <w:i w:val="false"/>
            <w:color w:val="000000"/>
            <w:sz w:val="22"/>
          </w:rPr>
          <w:t>481—507.16</w:t>
        </w:r>
      </w:hyperlink>
      <w:r>
        <w:rPr>
          <w:rFonts w:ascii="Times New Roman" w:hAnsi="Times New Roman"/>
          <w:b w:val="false"/>
          <w:i w:val="false"/>
          <w:color w:val="000000"/>
          <w:sz w:val="22"/>
        </w:rPr>
        <w:t>(147,154B).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the applicant’s acceptance letter for the predoctoral internship.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Identification of the training director and the training director’s contact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that the applicant is enrolled in an educational program that meets the requirements of rule </w:t>
      </w:r>
      <w:hyperlink r:id="rId14">
        <w:r>
          <w:rPr>
            <w:rStyle w:val="Hyperlink"/>
            <w:rFonts w:ascii="Times New Roman" w:hAnsi="Times New Roman"/>
            <w:b w:val="false"/>
            <w:i w:val="false"/>
            <w:color w:val="000000"/>
            <w:sz w:val="22"/>
          </w:rPr>
          <w:t>481—880.4</w:t>
        </w:r>
      </w:hyperlink>
      <w:r>
        <w:rPr>
          <w:rFonts w:ascii="Times New Roman" w:hAnsi="Times New Roman"/>
          <w:b w:val="false"/>
          <w:i w:val="false"/>
          <w:color w:val="000000"/>
          <w:sz w:val="22"/>
        </w:rPr>
        <w:t>(154B,154C,154D).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Postdoctoral residency. </w:t>
      </w:r>
      <w:r>
        <w:rPr>
          <w:rFonts w:ascii="Times New Roman" w:hAnsi="Times New Roman"/>
          <w:b w:val="false"/>
          <w:i w:val="false"/>
          <w:color w:val="000000"/>
          <w:sz w:val="22"/>
        </w:rPr>
        <w:t>An applicant for a provisional license for purposes of completing a postdoctoral residency shall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completed application for licensure and the nonrefundable licensure fee specified in rule </w:t>
      </w:r>
      <w:hyperlink r:id="rId15">
        <w:r>
          <w:rPr>
            <w:rStyle w:val="Hyperlink"/>
            <w:rFonts w:ascii="Times New Roman" w:hAnsi="Times New Roman"/>
            <w:b w:val="false"/>
            <w:i w:val="false"/>
            <w:color w:val="000000"/>
            <w:sz w:val="22"/>
          </w:rPr>
          <w:t>481—507.16</w:t>
        </w:r>
      </w:hyperlink>
      <w:r>
        <w:rPr>
          <w:rFonts w:ascii="Times New Roman" w:hAnsi="Times New Roman"/>
          <w:b w:val="false"/>
          <w:i w:val="false"/>
          <w:color w:val="000000"/>
          <w:sz w:val="22"/>
        </w:rPr>
        <w:t>(147,154B).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Official copies of academic transcripts sent directly from the school establishing that the requirements stated in subrule </w:t>
      </w:r>
      <w:hyperlink r:id="rId16">
        <w:r>
          <w:rPr>
            <w:rStyle w:val="Hyperlink"/>
            <w:rFonts w:ascii="Times New Roman" w:hAnsi="Times New Roman"/>
            <w:b w:val="false"/>
            <w:i w:val="false"/>
            <w:color w:val="000000"/>
            <w:sz w:val="22"/>
          </w:rPr>
          <w:t>880.4(4)</w:t>
        </w:r>
      </w:hyperlink>
      <w:r>
        <w:rPr>
          <w:rFonts w:ascii="Times New Roman" w:hAnsi="Times New Roman"/>
          <w:b w:val="false"/>
          <w:i w:val="false"/>
          <w:color w:val="000000"/>
          <w:sz w:val="22"/>
        </w:rPr>
        <w:t xml:space="preserve">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completed supervision plan on the prescribed board form, signed by the applicant’s supervisors. A change in supervisor or in the supervision plan requires submission of a new supervision plan on the prescribed board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Duration. </w:t>
      </w:r>
      <w:r>
        <w:rPr>
          <w:rFonts w:ascii="Times New Roman" w:hAnsi="Times New Roman"/>
          <w:b w:val="false"/>
          <w:i w:val="false"/>
          <w:color w:val="000000"/>
          <w:sz w:val="22"/>
        </w:rPr>
        <w:t>The provisional license is effective for two years from the date of issuance. A provisional license issued for purposes of completing a predoctoral internship can be used for purposes of completing a postdoctoral residency until the provisional license expires. The provisional licensee shall submit a completed supervision plan on the prescribed board form, signed by the licensee’s supervisors, prior to beginning the postdoctoral residency. A change in supervisor or in the supervision plan requires submission of a new supervision plan on the prescribed board form. A provisional license may be renewed one time for a period of two years upon submission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provisional license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provisional license renewal fee;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current supervision plan as required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880.2(5)</w:t>
      </w:r>
      <w:r>
        <w:rPr>
          <w:rFonts w:ascii="Times New Roman" w:hAnsi="Times New Roman"/>
          <w:b w:val="false"/>
          <w:i w:val="false"/>
          <w:color w:val="000000"/>
          <w:sz w:val="22"/>
        </w:rPr>
        <w:t> </w:t>
      </w:r>
      <w:r>
        <w:rPr>
          <w:rFonts w:ascii="Times New Roman" w:hAnsi="Times New Roman"/>
          <w:b w:val="false"/>
          <w:i/>
          <w:color w:val="000000"/>
          <w:sz w:val="22"/>
        </w:rPr>
        <w:t xml:space="preserve">Certified health service provider in psychology.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the health service provider in psychology. </w:t>
      </w:r>
      <w:r>
        <w:rPr>
          <w:rFonts w:ascii="Times New Roman" w:hAnsi="Times New Roman"/>
          <w:b w:val="false"/>
          <w:i w:val="false"/>
          <w:color w:val="000000"/>
          <w:sz w:val="22"/>
        </w:rPr>
        <w:t>The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Verify at least one year of clinical experience in an organized health service training program that meets the requirements of paragraph </w:t>
      </w:r>
      <w:hyperlink r:id="rId17">
        <w:r>
          <w:rPr>
            <w:rStyle w:val="Hyperlink"/>
            <w:rFonts w:ascii="Times New Roman" w:hAnsi="Times New Roman"/>
            <w:b w:val="false"/>
            <w:i w:val="false"/>
            <w:color w:val="000000"/>
            <w:sz w:val="22"/>
          </w:rPr>
          <w:t>880.2(5)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at least one year of clinical experience in a health service setting that meets the requirements for postdoctoral residency stated in rule </w:t>
      </w:r>
      <w:hyperlink r:id="rId18">
        <w:r>
          <w:rPr>
            <w:rStyle w:val="Hyperlink"/>
            <w:rFonts w:ascii="Times New Roman" w:hAnsi="Times New Roman"/>
            <w:b w:val="false"/>
            <w:i w:val="false"/>
            <w:color w:val="000000"/>
            <w:sz w:val="22"/>
          </w:rPr>
          <w:t>481—880.8</w:t>
        </w:r>
      </w:hyperlink>
      <w:r>
        <w:rPr>
          <w:rFonts w:ascii="Times New Roman" w:hAnsi="Times New Roman"/>
          <w:b w:val="false"/>
          <w:i w:val="false"/>
          <w:color w:val="000000"/>
          <w:sz w:val="22"/>
        </w:rPr>
        <w:t>(154B). Alternatively, an applicant may submit verification of current registration at the doctoral level by the National Register of Health Service Psychologists to verify completion of the required clinical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Submit a completed application and nonrefundable application fee along with supporting documentation. Incomplete applications that have been on file in the board office for more than two years without additional supporting documentation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shall be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Maintained upon written request of the applicant. The applicant is responsible for requesting that the file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Renew the certificate biennially at the same time as the psychology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Requirements of the organized health service training program. </w:t>
      </w:r>
      <w:r>
        <w:rPr>
          <w:rFonts w:ascii="Times New Roman" w:hAnsi="Times New Roman"/>
          <w:b w:val="false"/>
          <w:i w:val="false"/>
          <w:color w:val="000000"/>
          <w:sz w:val="22"/>
        </w:rPr>
        <w:t>Internship programs in professional psychology that are accredited by the American Psychological Association (APA) or the Canadian Psychological Association (CPA) or that hold membership in the Association of Psychology Postdoctoral and Internship Centers (APPIC) are deemed approved. Applicants completing an organized health service training program that is not accredited by the APA or the CPA, or is not APPIC-designated at the time the applicant completes the training shall cause documentation to be sent from the program to establish that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Provides the intern with a planned, programmed sequence of training experiences.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a clearly designated doctoral-level staff psychologist who is responsible for the integrity and quality of the training program and is actively licensed by the board of psychology in the jurisdiction in which the program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two or more doctoral-level psychologists on the staff who serve as supervisors, at least one of whom is actively licensed by the board of psychology in the jurisdiction in which the program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supervision that is provided by staff members of the organized health service training program or by an affiliate of the organized health service training program who carries clinical responsibility for the cases being supervised. At least half of the internship supervision shall be provided by one or more doctoral-level psychologists.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Provides training in a range of psychological assessment and treatment activities conducted directly with recipients of psychological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Ensures that trainees have a minimum of 375 hours of direct patient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Includes a minimum of two hours per week (regardless of whether the internship is completed in one year or two years) of regularly scheduled, formal, face-to-face individual supervision with the specific intent of dealing with psychological services rendered directly by the intern. There must also be at least two additional hours per week in learning activities such as case conferences involving a case in which the intern is actively involved, seminars dealing with clinical issues, cotherapy with a staff person including discussion, group supervision, and additional individual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Has training that is at the postclerkship, postpracticum, and postexternship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Has a minimum of two interns at the internship level of training during any period of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Designates for internship-level trainees titles such as “intern,” “resident,” “fellow,” or other designation of trainee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Has a written statement or brochure that describes the goals and content of the internship, states clear expectations for quantity and quality of trainees’ work and is made available to prospective interns.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Provides a minimum of 1,500 hours of training experience that shall be completed in no less than 12 months within a 24-consecutive-month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880.2(6)</w:t>
      </w:r>
      <w:r>
        <w:rPr>
          <w:rFonts w:ascii="Times New Roman" w:hAnsi="Times New Roman"/>
          <w:b w:val="false"/>
          <w:i w:val="false"/>
          <w:color w:val="000000"/>
          <w:sz w:val="22"/>
        </w:rPr>
        <w:t> </w:t>
      </w:r>
      <w:r>
        <w:rPr>
          <w:rFonts w:ascii="Times New Roman" w:hAnsi="Times New Roman"/>
          <w:b w:val="false"/>
          <w:i/>
          <w:color w:val="000000"/>
          <w:sz w:val="22"/>
        </w:rPr>
        <w:t xml:space="preserve">Exemption to licensure. </w:t>
      </w:r>
      <w:r>
        <w:rPr>
          <w:rFonts w:ascii="Times New Roman" w:hAnsi="Times New Roman"/>
          <w:b w:val="false"/>
          <w:i w:val="false"/>
          <w:color w:val="000000"/>
          <w:sz w:val="22"/>
        </w:rPr>
        <w:t xml:space="preserve">Psychologists residing outside the state of Iowa and intending to practice in Iowa under the provisions of Iowa Code section </w:t>
      </w:r>
      <w:hyperlink r:id="rId19">
        <w:r>
          <w:rPr>
            <w:rStyle w:val="Hyperlink"/>
            <w:rFonts w:ascii="Times New Roman" w:hAnsi="Times New Roman"/>
            <w:b w:val="false"/>
            <w:i w:val="false"/>
            <w:color w:val="000000"/>
            <w:sz w:val="22"/>
          </w:rPr>
          <w:t>154B.3(5)</w:t>
        </w:r>
      </w:hyperlink>
      <w:r>
        <w:rPr>
          <w:rFonts w:ascii="Times New Roman" w:hAnsi="Times New Roman"/>
          <w:b w:val="false"/>
          <w:i w:val="false"/>
          <w:color w:val="000000"/>
          <w:sz w:val="22"/>
        </w:rPr>
        <w:t xml:space="preserve"> shall complete and submit the application for the exemption to licensure and the nonrefundable licensure fee specified in rule </w:t>
      </w:r>
      <w:hyperlink r:id="rId20">
        <w:r>
          <w:rPr>
            <w:rStyle w:val="Hyperlink"/>
            <w:rFonts w:ascii="Times New Roman" w:hAnsi="Times New Roman"/>
            <w:b w:val="false"/>
            <w:i w:val="false"/>
            <w:color w:val="000000"/>
            <w:sz w:val="22"/>
          </w:rPr>
          <w:t>481—507.16</w:t>
        </w:r>
      </w:hyperlink>
      <w:r>
        <w:rPr>
          <w:rFonts w:ascii="Times New Roman" w:hAnsi="Times New Roman"/>
          <w:b w:val="false"/>
          <w:i w:val="false"/>
          <w:color w:val="000000"/>
          <w:sz w:val="22"/>
        </w:rPr>
        <w:t>(147,154B).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a summary of the intent to practice and a verification of the license in the applicant’s jurisdiction of residence, sent directly from the jurisdiction to the board office.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exemption must be issued prior to practice in Iowa. The exemption shall be valid for 10 consecutive business days or not to exceed 15 business days in any 90-day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880.2(7)</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social work licensure. </w:t>
      </w:r>
      <w:r>
        <w:rPr>
          <w:rFonts w:ascii="Times New Roman" w:hAnsi="Times New Roman"/>
          <w:b w:val="false"/>
          <w:i w:val="false"/>
          <w:color w:val="000000"/>
          <w:sz w:val="22"/>
        </w:rPr>
        <w:t>The following criteria shall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submit a completed application for licensure and pay the nonrefundable licensure fee specified in rule </w:t>
      </w:r>
      <w:hyperlink r:id="rId21">
        <w:r>
          <w:rPr>
            <w:rStyle w:val="Hyperlink"/>
            <w:rFonts w:ascii="Times New Roman" w:hAnsi="Times New Roman"/>
            <w:b w:val="false"/>
            <w:i w:val="false"/>
            <w:color w:val="000000"/>
            <w:sz w:val="22"/>
          </w:rPr>
          <w:t>481—507.19</w:t>
        </w:r>
      </w:hyperlink>
      <w:r>
        <w:rPr>
          <w:rFonts w:ascii="Times New Roman" w:hAnsi="Times New Roman"/>
          <w:b w:val="false"/>
          <w:i w:val="false"/>
          <w:color w:val="000000"/>
          <w:sz w:val="22"/>
        </w:rPr>
        <w:t>(147,154C).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for a social worker license shall submit required waivers and fingerprints pursuant to the board-approved process to facilitate a national criminal history background check by the DCI and the FBI. The cost of the criminal history background check by the DCI and the FBI shall be assessed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 application will be considered by the board until official copies of academic transcripts have been received by the board except as provided in paragraph </w:t>
      </w:r>
      <w:hyperlink r:id="rId22">
        <w:r>
          <w:rPr>
            <w:rStyle w:val="Hyperlink"/>
            <w:rFonts w:ascii="Times New Roman" w:hAnsi="Times New Roman"/>
            <w:b w:val="false"/>
            <w:i w:val="false"/>
            <w:color w:val="000000"/>
            <w:sz w:val="22"/>
          </w:rPr>
          <w:t>880.2(7)</w:t>
        </w:r>
      </w:hyperlink>
      <w:r>
        <w:rPr>
          <w:rFonts w:ascii="Times New Roman" w:hAnsi="Times New Roman"/>
          <w:b w:val="false"/>
          <w:i/>
          <w:color w:val="000000"/>
          <w:sz w:val="22"/>
        </w:rPr>
        <w: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provides verification of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take the examination(s) provided in subrule </w:t>
      </w:r>
      <w:hyperlink r:id="rId23">
        <w:r>
          <w:rPr>
            <w:rStyle w:val="Hyperlink"/>
            <w:rFonts w:ascii="Times New Roman" w:hAnsi="Times New Roman"/>
            <w:b w:val="false"/>
            <w:i w:val="false"/>
            <w:color w:val="000000"/>
            <w:sz w:val="22"/>
          </w:rPr>
          <w:t>880.3(3)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Licensees who were issued their initial licenses within six months prior to the renewal shall not be required to renew their licenses until the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Considered invalid and be destroyed;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Maintained upon written request of the applicant. The applicant is responsible for requesting that the file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the requirements in paragraphs </w:t>
      </w:r>
      <w:hyperlink r:id="rId24">
        <w:r>
          <w:rPr>
            <w:rStyle w:val="Hyperlink"/>
            <w:rFonts w:ascii="Times New Roman" w:hAnsi="Times New Roman"/>
            <w:b w:val="false"/>
            <w:i w:val="false"/>
            <w:color w:val="000000"/>
            <w:sz w:val="22"/>
          </w:rPr>
          <w:t>880.2(7)</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the board will accept the ASWB Social Work Registry verification of academic transcripts and verification of licensure in other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9401C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 xml:space="preserve">; </w:t>
      </w:r>
      <w:r>
        <w:rPr>
          <w:rFonts w:ascii="Times New Roman" w:hAnsi="Times New Roman"/>
          <w:b/>
          <w:i w:val="false"/>
          <w:color w:val="000000"/>
          <w:sz w:val="16"/>
        </w:rPr>
        <w:t>ARC 0556D</w:t>
      </w:r>
      <w:r>
        <w:rPr>
          <w:rFonts w:ascii="Times New Roman" w:hAnsi="Times New Roman"/>
          <w:b w:val="false"/>
          <w:i w:val="false"/>
          <w:color w:val="000000"/>
          <w:sz w:val="16"/>
        </w:rPr>
        <w:t>, IAB 9/2/26, effective 10/7/26</w:t>
      </w:r>
      <w:r>
        <w:rPr>
          <w:rFonts w:ascii="Times New Roman" w:hAnsi="Times New Roman"/>
          <w:b w:val="false"/>
          <w:i w:val="false"/>
          <w:color w:val="000000"/>
          <w:sz w:val="16"/>
        </w:rPr>
        <w:t>]</w:t>
      </w:r>
    </w:p>
    <w:sectPr>
      <w:footerReference r:id="rId2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507.3.pdf" Type="http://schemas.openxmlformats.org/officeDocument/2006/relationships/hyperlink" Id="rId4"/>
    <Relationship TargetMode="External" Target="https://www.legis.iowa.gov/docs/iac/rule/481.880.4.pdf" Type="http://schemas.openxmlformats.org/officeDocument/2006/relationships/hyperlink" Id="rId5"/>
    <Relationship TargetMode="External" Target="https://www.legis.iowa.gov/docs/iac/rule/481.880.4.pdf" Type="http://schemas.openxmlformats.org/officeDocument/2006/relationships/hyperlink" Id="rId6"/>
    <Relationship TargetMode="External" Target="https://www.legis.iowa.gov/docs/iac/rule/481.880.4.pdf" Type="http://schemas.openxmlformats.org/officeDocument/2006/relationships/hyperlink" Id="rId7"/>
    <Relationship TargetMode="External" Target="https://www.legis.iowa.gov/docs/iac/rule/481.880.4.pdf" Type="http://schemas.openxmlformats.org/officeDocument/2006/relationships/hyperlink" Id="rId8"/>
    <Relationship TargetMode="External" Target="https://www.legis.iowa.gov/docs/iac/rule/481.880.3.pdf" Type="http://schemas.openxmlformats.org/officeDocument/2006/relationships/hyperlink" Id="rId9"/>
    <Relationship TargetMode="External" Target="https://www.legis.iowa.gov/docs/iac/rule/481.880.7.pdf" Type="http://schemas.openxmlformats.org/officeDocument/2006/relationships/hyperlink" Id="rId10"/>
    <Relationship TargetMode="External" Target="https://www.legis.iowa.gov/docs/iac/rule/481.507.3.pdf" Type="http://schemas.openxmlformats.org/officeDocument/2006/relationships/hyperlink" Id="rId11"/>
    <Relationship TargetMode="External" Target="https://www.legis.iowa.gov/docs/iac/rule/481.507.16.pdf" Type="http://schemas.openxmlformats.org/officeDocument/2006/relationships/hyperlink" Id="rId12"/>
    <Relationship TargetMode="External" Target="https://www.legis.iowa.gov/docs/iac/rule/481.507.16.pdf" Type="http://schemas.openxmlformats.org/officeDocument/2006/relationships/hyperlink" Id="rId13"/>
    <Relationship TargetMode="External" Target="https://www.legis.iowa.gov/docs/iac/rule/481.880.4.pdf" Type="http://schemas.openxmlformats.org/officeDocument/2006/relationships/hyperlink" Id="rId14"/>
    <Relationship TargetMode="External" Target="https://www.legis.iowa.gov/docs/iac/rule/481.507.16.pdf" Type="http://schemas.openxmlformats.org/officeDocument/2006/relationships/hyperlink" Id="rId15"/>
    <Relationship TargetMode="External" Target="https://www.legis.iowa.gov/docs/iac/rule/481.880.4.pdf" Type="http://schemas.openxmlformats.org/officeDocument/2006/relationships/hyperlink" Id="rId16"/>
    <Relationship TargetMode="External" Target="https://www.legis.iowa.gov/docs/iac/rule/481.880.2.pdf" Type="http://schemas.openxmlformats.org/officeDocument/2006/relationships/hyperlink" Id="rId17"/>
    <Relationship TargetMode="External" Target="https://www.legis.iowa.gov/docs/iac/rule/481.880.8.pdf" Type="http://schemas.openxmlformats.org/officeDocument/2006/relationships/hyperlink" Id="rId18"/>
    <Relationship TargetMode="External" Target="https://www.legis.iowa.gov/docs/ico/chapter/154B.3.pdf" Type="http://schemas.openxmlformats.org/officeDocument/2006/relationships/hyperlink" Id="rId19"/>
    <Relationship TargetMode="External" Target="https://www.legis.iowa.gov/docs/iac/rule/481.507.16.pdf" Type="http://schemas.openxmlformats.org/officeDocument/2006/relationships/hyperlink" Id="rId20"/>
    <Relationship TargetMode="External" Target="https://www.legis.iowa.gov/docs/iac/rule/481.507.19.pdf" Type="http://schemas.openxmlformats.org/officeDocument/2006/relationships/hyperlink" Id="rId21"/>
    <Relationship TargetMode="External" Target="https://www.legis.iowa.gov/docs/iac/rule/481.880.2.pdf" Type="http://schemas.openxmlformats.org/officeDocument/2006/relationships/hyperlink" Id="rId22"/>
    <Relationship TargetMode="External" Target="https://www.legis.iowa.gov/docs/iac/rule/481.880.3.pdf" Type="http://schemas.openxmlformats.org/officeDocument/2006/relationships/hyperlink" Id="rId23"/>
    <Relationship TargetMode="External" Target="https://www.legis.iowa.gov/docs/iac/rule/481.880.2.pdf" Type="http://schemas.openxmlformats.org/officeDocument/2006/relationships/hyperlink" Id="rId24"/>
    <Relationship Target="footer.xml" Type="http://schemas.openxmlformats.org/officeDocument/2006/relationships/footer"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