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481—880.14</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for mental health counselors, marital and family therapists, psychologists, and social workers.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4">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880.14(4)</w:t>
      </w:r>
      <w:r>
        <w:rPr>
          <w:rFonts w:ascii="Times New Roman" w:hAnsi="Times New Roman"/>
          <w:b w:val="false"/>
          <w:i w:val="false"/>
          <w:color w:val="000000"/>
          <w:sz w:val="22"/>
        </w:rPr>
        <w:t> </w:t>
      </w:r>
      <w:r>
        <w:rPr>
          <w:rFonts w:ascii="Times New Roman" w:hAnsi="Times New Roman"/>
          <w:b w:val="false"/>
          <w:i w:val="false"/>
          <w:color w:val="000000"/>
          <w:sz w:val="22"/>
        </w:rPr>
        <w:t>For mental health counseling and marriage and family therapy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a current active license in another jurisdiction at the time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completion of continuing education taken within two years prior to the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less than five years, the applicant must submit verification of 40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more than five years, the applicant must submit verification of 80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mental health counseling license has been inactive for two or more years and the licensee cannot provide verification of active practice, consisting of a minimum of 2,080 hours, in another state or jurisdiction during the two years preceding an application for reactivation, submit required waivers and fingerprints pursuant to the board-approved process to facilitate a national criminal history background check. The cost for the evaluation of the fingerprint packet and the DCI and the FBI criminal history background checks will be assessed to the licensee. The board may withhold reactivation of a license pending receipt of a report from the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880.14(5)</w:t>
      </w:r>
      <w:r>
        <w:rPr>
          <w:rFonts w:ascii="Times New Roman" w:hAnsi="Times New Roman"/>
          <w:b w:val="false"/>
          <w:i w:val="false"/>
          <w:color w:val="000000"/>
          <w:sz w:val="22"/>
        </w:rPr>
        <w:t> </w:t>
      </w:r>
      <w:r>
        <w:rPr>
          <w:rFonts w:ascii="Times New Roman" w:hAnsi="Times New Roman"/>
          <w:b w:val="false"/>
          <w:i w:val="false"/>
          <w:color w:val="000000"/>
          <w:sz w:val="22"/>
        </w:rPr>
        <w:t>For psychology licenses, provide 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880.14(6)</w:t>
      </w:r>
      <w:r>
        <w:rPr>
          <w:rFonts w:ascii="Times New Roman" w:hAnsi="Times New Roman"/>
          <w:b w:val="false"/>
          <w:i w:val="false"/>
          <w:color w:val="000000"/>
          <w:sz w:val="22"/>
        </w:rPr>
        <w:t> </w:t>
      </w:r>
      <w:r>
        <w:rPr>
          <w:rFonts w:ascii="Times New Roman" w:hAnsi="Times New Roman"/>
          <w:b w:val="false"/>
          <w:i w:val="false"/>
          <w:color w:val="000000"/>
          <w:sz w:val="22"/>
        </w:rPr>
        <w:t>For social work licenses,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27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has been on inactive status for more than five years, the verification in paragraph </w:t>
      </w:r>
      <w:hyperlink r:id="rId5">
        <w:r>
          <w:rPr>
            <w:rStyle w:val="Hyperlink"/>
            <w:rFonts w:ascii="Times New Roman" w:hAnsi="Times New Roman"/>
            <w:b w:val="false"/>
            <w:i w:val="false"/>
            <w:color w:val="000000"/>
            <w:sz w:val="22"/>
          </w:rPr>
          <w:t>880.14(6)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passing the ASWB examination within the last five years at the appropriate or higher level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Bachelor-level social worker—the bachelor’s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Master-level social worker—the master’s level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Independent-level social worker—the clinical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continued social work practice at the appropriate or higher level in another state for a minimum of two years immediately preceding the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social work license has been inactive for two or more years and the licensee cannot provide verification of active practice, in accordance with subparagraph </w:t>
      </w:r>
      <w:hyperlink r:id="rId6">
        <w:r>
          <w:rPr>
            <w:rStyle w:val="Hyperlink"/>
            <w:rFonts w:ascii="Times New Roman" w:hAnsi="Times New Roman"/>
            <w:b w:val="false"/>
            <w:i w:val="false"/>
            <w:color w:val="000000"/>
            <w:sz w:val="22"/>
          </w:rPr>
          <w:t>880.14(6)</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in another state or jurisdiction during the two years preceding an application for reactivation,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507.pdf" Type="http://schemas.openxmlformats.org/officeDocument/2006/relationships/hyperlink" Id="rId4"/>
    <Relationship TargetMode="External" Target="https://www.legis.iowa.gov/docs/iac/rule/481.880.14.pdf" Type="http://schemas.openxmlformats.org/officeDocument/2006/relationships/hyperlink" Id="rId5"/>
    <Relationship TargetMode="External" Target="https://www.legis.iowa.gov/docs/iac/rule/481.880.1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