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481—880.10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for mental health counselors and marriage and family therapists.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marital and family therapy or mental health counseling shall begin on October 1 of an even-numbered year and end on September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880.10(2)</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4">
        <w:r>
          <w:rPr>
            <w:rStyle w:val="Hyperlink"/>
            <w:rFonts w:ascii="Times New Roman" w:hAnsi="Times New Roman"/>
            <w:b w:val="false"/>
            <w:i w:val="false"/>
            <w:color w:val="000000"/>
            <w:sz w:val="22"/>
          </w:rPr>
          <w:t>481—881.2</w:t>
        </w:r>
      </w:hyperlink>
      <w:r>
        <w:rPr>
          <w:rFonts w:ascii="Times New Roman" w:hAnsi="Times New Roman"/>
          <w:b w:val="false"/>
          <w:i w:val="false"/>
          <w:color w:val="000000"/>
          <w:sz w:val="22"/>
        </w:rPr>
        <w:t>(272C).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 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a compact eligibility review. This rule applies to mental health counselor licensees who were licensed prior to enactment of this rule unless this was completed at the time of initial licensure. In order to complete the compact eligibility review, at or prior to the licensee’s next renewal,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880.10(3)</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6">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two hours of training in dependent adult abuse identification and reporting as required by Iowa Code section </w:t>
      </w:r>
      <w:hyperlink r:id="rId7">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8">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five years after mandatory training as identified in paragraphs </w:t>
      </w:r>
      <w:hyperlink r:id="rId9">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10">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11">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880.10(5)</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marital and family therapist or mental health counselor shall keep the person’s license certificate and wallet card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wallet card. The licensee shall be assessed a late fee as specified in </w:t>
      </w:r>
      <w:hyperlink r:id="rId12">
        <w:r>
          <w:rPr>
            <w:rStyle w:val="Hyperlink"/>
            <w:rFonts w:ascii="Times New Roman" w:hAnsi="Times New Roman"/>
            <w:b w:val="false"/>
            <w:i w:val="false"/>
            <w:color w:val="000000"/>
            <w:sz w:val="22"/>
          </w:rPr>
          <w:t>481—subrule 507.3(3)</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shall not practice mental health counseling or marital and family therapy in Iowa until the license is reactivated. A licensee who practices mental health counseling or marital and family therapy in the state of Iowa with an inactive license may be subject to disciplinary action by the board, injunctive action pursuant to Iowa Code section </w:t>
      </w:r>
      <w:hyperlink r:id="rId1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 xml:space="preserve">; </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881.2.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ac/rule/481.880.10.pdf" Type="http://schemas.openxmlformats.org/officeDocument/2006/relationships/hyperlink" Id="rId6"/>
    <Relationship TargetMode="External" Target="https://www.legis.iowa.gov/docs/ico/chapter/235B.16.pdf" Type="http://schemas.openxmlformats.org/officeDocument/2006/relationships/hyperlink" Id="rId7"/>
    <Relationship TargetMode="External" Target="https://www.legis.iowa.gov/docs/iac/rule/481.880.10.pdf" Type="http://schemas.openxmlformats.org/officeDocument/2006/relationships/hyperlink" Id="rId8"/>
    <Relationship TargetMode="External" Target="https://www.legis.iowa.gov/docs/iac/rule/481.880.10.pdf" Type="http://schemas.openxmlformats.org/officeDocument/2006/relationships/hyperlink" Id="rId9"/>
    <Relationship TargetMode="External" Target="https://www.legis.iowa.gov/docs/iac/chapter/481.500.pdf" Type="http://schemas.openxmlformats.org/officeDocument/2006/relationships/hyperlink" Id="rId10"/>
    <Relationship TargetMode="External" Target="https://www.legis.iowa.gov/docs/iac/rule/481.880.10.pdf" Type="http://schemas.openxmlformats.org/officeDocument/2006/relationships/hyperlink" Id="rId11"/>
    <Relationship TargetMode="External" Target="https://www.legis.iowa.gov/docs/iac/rule/481.507.3.pdf" Type="http://schemas.openxmlformats.org/officeDocument/2006/relationships/hyperlink" Id="rId12"/>
    <Relationship TargetMode="External" Target="https://www.legis.iowa.gov/docs/ico/chapter/147.83.pdf" Type="http://schemas.openxmlformats.org/officeDocument/2006/relationships/hyperlink" Id="rId13"/>
    <Relationship TargetMode="External" Target="https://www.legis.iowa.gov/docs/ico/chapter/147.86.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