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441—301.4</w:t>
      </w:r>
      <w:r>
        <w:rPr>
          <w:rFonts w:ascii="Times New Roman" w:hAnsi="Times New Roman"/>
          <w:b/>
          <w:i w:val="false"/>
          <w:color w:val="000000"/>
          <w:sz w:val="22"/>
        </w:rPr>
        <w:t xml:space="preserve">(225A) </w:t>
      </w:r>
      <w:r>
        <w:rPr>
          <w:rFonts w:ascii="Times New Roman" w:hAnsi="Times New Roman"/>
          <w:b/>
          <w:i w:val="false"/>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action”</w:t>
      </w:r>
      <w:r>
        <w:rPr>
          <w:rFonts w:ascii="Times New Roman" w:hAnsi="Times New Roman"/>
          <w:b w:val="false"/>
          <w:i w:val="false"/>
          <w:color w:val="000000"/>
          <w:sz w:val="22"/>
        </w:rPr>
        <w:t> </w:t>
      </w:r>
      <w:r>
        <w:rPr>
          <w:rFonts w:ascii="Times New Roman" w:hAnsi="Times New Roman"/>
          <w:b w:val="false"/>
          <w:i w:val="false"/>
          <w:color w:val="000000"/>
          <w:sz w:val="22"/>
        </w:rPr>
        <w:t>includes the whole or part of an agency rule or other statement of law or policy, order, decision, license, proceeding, investigation, sanction, relief, or the equivalent or a denial thereof, or a failure to act, or any other exercise of agency discretion or failure to do so, or the performance of any agency duty or the failure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“Appellant”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bringing an appeal under this chapter, including any person’s authorized representative as defined in subrule </w:t>
      </w:r>
      <w:hyperlink r:id="rId4">
        <w:r>
          <w:rPr>
            <w:rStyle w:val="Hyperlink"/>
            <w:rFonts w:ascii="Times New Roman" w:hAnsi="Times New Roman"/>
            <w:b w:val="false"/>
            <w:i w:val="false"/>
            <w:color w:val="000000"/>
            <w:sz w:val="22"/>
          </w:rPr>
          <w:t>301.4(14)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partnership, corporation, association, governmental subdivision, or public or private organization of any character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“Reviewer”</w:t>
      </w:r>
      <w:r>
        <w:rPr>
          <w:rFonts w:ascii="Times New Roman" w:hAnsi="Times New Roman"/>
          <w:b w:val="false"/>
          <w:i w:val="false"/>
          <w:color w:val="000000"/>
          <w:sz w:val="22"/>
        </w:rPr>
        <w:t> </w:t>
      </w:r>
      <w:r>
        <w:rPr>
          <w:rFonts w:ascii="Times New Roman" w:hAnsi="Times New Roman"/>
          <w:b w:val="false"/>
          <w:i w:val="false"/>
          <w:color w:val="000000"/>
          <w:sz w:val="22"/>
        </w:rPr>
        <w:t>means the individual assigned by the department to review an appeal record and issue a written decision on behalf of the department. The department’s reviewer will be screened from the underlying case and will not have prior knowledge of the facts that precipitated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person that disagrees with the department’s agency action related to an eligibility determination or denial of behavioral health services may request an appeal within 120 calendar days of the date of the determination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actions may be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eligibility criteria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denial or limited authorization of a requested service, including the type or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decision to reduce, suspend, or terminate previously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denial, in whole or in part, of payment for a service that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failure of the department to act within the required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 requests submitted by regular mail are considered filed on the date postmarked on the envelope sent to the department or, when a postmarked envelope is not available, on the date the appeal is stamped received by the department. Appeal requests sent electronically are considered filed on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computing any time period specified in this rule,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Excludes the day of the event that triggers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Includes every day of the time period (including Saturdays, Sundays, and holidays on which the department is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the last day of the period, but if the last day is a Saturday, Sunday, or legal holiday, the period continues until the end of the next day that is not a Saturday, Sunday, or legal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The person may request an appeal using a form prescribed by the department and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301.4(4)</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The department will send an acknowledgment of receipt of the appeal to the parties-in-interest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301.4(5)</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department will determine with reasonable promptness whether the person is entitled to an appeal. If a request for an appeal is denied, the department will provide written notice of and the reasons for the denial. On or before the thirtieth calendar day following the denial of appeal, the party requesting the appeal may provide additional information related to the appeal and request reconsideration of the denial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If an appeal request is granted, the appellant may submit a written statement, supported by relevant documentation, to establish all pertinent facts and circumstances. Documents shall be submitted to the department within 14 calendar days of the date the appeal is acknowledged. The department’s reviewer may request additional documents or information from the appellant as needed to assist the department’s evaluation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301.4(7)</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The department’s reviewer, the director, and all parties to the appeal are bound by the rules against ex parte communication set forth in Iowa Code section </w:t>
      </w:r>
      <w:hyperlink r:id="rId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7—2506.23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301.4(8)</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An appellant may withdraw a request for appeal at any time. Requests to withdraw an appeal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The department’s reviewer will review the appeal record and issue a written proposed decision to all parties within 30 calendar days. The written proposed decision will include the reviewer’s findings of fact and rationale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301.4(10)</w:t>
      </w:r>
      <w:r>
        <w:rPr>
          <w:rFonts w:ascii="Times New Roman" w:hAnsi="Times New Roman"/>
          <w:b w:val="false"/>
          <w:i w:val="false"/>
          <w:color w:val="000000"/>
          <w:sz w:val="22"/>
        </w:rPr>
        <w:t> </w:t>
      </w:r>
      <w:r>
        <w:rPr>
          <w:rFonts w:ascii="Times New Roman" w:hAnsi="Times New Roman"/>
          <w:b w:val="false"/>
          <w:i/>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may appeal the proposed decision to the director.  A request for director’s review shall be in writing and postmarked or received within 14 calendar days of the date on which the proposed decision was issued. A request for director’s review may be accompanied by a brief written summary of the arguments in favor of granting a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Granting or denial of review. </w:t>
      </w:r>
      <w:r>
        <w:rPr>
          <w:rFonts w:ascii="Times New Roman" w:hAnsi="Times New Roman"/>
          <w:b w:val="false"/>
          <w:i w:val="false"/>
          <w:color w:val="000000"/>
          <w:sz w:val="22"/>
        </w:rPr>
        <w:t>The department has full discretion to grant or deny a request for director’s review. In addition, the director may initiate review of a proposed decision on the director’s own motion at any time on or before the thirtieth calendar day following the issuance of the proposed decision. When the department grants a request for director’s review, the parties will be notified of the decision, and a copy of the request will be included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A director’s review will be limited to the issues and information contained in the record reviewed by the reviewer who issued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issued. </w:t>
      </w:r>
      <w:r>
        <w:rPr>
          <w:rFonts w:ascii="Times New Roman" w:hAnsi="Times New Roman"/>
          <w:b w:val="false"/>
          <w:i w:val="false"/>
          <w:color w:val="000000"/>
          <w:sz w:val="22"/>
        </w:rPr>
        <w:t>The director will issue a final decision within the timelines prescribed by federal or state law. For all appeals for which there is no federal or state timeliness standard, the director will issue a final decision on or before the ninetieth day from the date the director grants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 xml:space="preserve">If there is no timely appeal from or review of the proposed decision, the proposed decision will be considered the final agency action and is subject to judicial review in accordance with Iowa Code section </w:t>
      </w:r>
      <w:hyperlink r:id="rId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Director decision issued. </w:t>
      </w:r>
      <w:r>
        <w:rPr>
          <w:rFonts w:ascii="Times New Roman" w:hAnsi="Times New Roman"/>
          <w:b w:val="false"/>
          <w:i w:val="false"/>
          <w:color w:val="000000"/>
          <w:sz w:val="22"/>
        </w:rPr>
        <w:t xml:space="preserve">Any decision issued by the director after granting a director’s review will be considered the final agency action and is subject to judicial review in accordance with Iowa Code section </w:t>
      </w:r>
      <w:hyperlink r:id="rId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parties-in-interest will be provided written notice of the department’s final decision. The department will also notify the appellant of the right to seek judicial review,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301.4(12)</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The department will provide translation and interpretation services to parties-in-interest, if requested. When a party-in-interest is illiterate or semiliterate, the reviewer will advise the party-in-interest of the party-in-interest’s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301.4(13)</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Persons living with disabilities will be provided assistance through the use of auxiliary aids and services at no cost to the individual in accordance with the Americans with Disabilities Act (as amended, effective December 31, 2023) and Section 504 of the Rehabilitation Act (as amended, effective October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301.4(14)</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The provisions of this subrule only apply to the extent the standards expressed in this 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will be sufficient for a delegate to serve as authorized representative under this rule. A person that is not designated as a legally recognized delegation of authority but who otherwise seeks to act as an authorized representative for an individual in an appeal under this rule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rule shall enter an appropriate written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301.4(15)</w:t>
      </w:r>
      <w:r>
        <w:rPr>
          <w:rFonts w:ascii="Times New Roman" w:hAnsi="Times New Roman"/>
          <w:b w:val="false"/>
          <w:i w:val="false"/>
          <w:color w:val="000000"/>
          <w:sz w:val="22"/>
        </w:rPr>
        <w:t> </w:t>
      </w:r>
      <w:r>
        <w:rPr>
          <w:rFonts w:ascii="Times New Roman" w:hAnsi="Times New Roman"/>
          <w:b w:val="false"/>
          <w:i/>
          <w:color w:val="000000"/>
          <w:sz w:val="22"/>
        </w:rPr>
        <w:t xml:space="preserve">Not contested cases. </w:t>
      </w:r>
      <w:r>
        <w:rPr>
          <w:rFonts w:ascii="Times New Roman" w:hAnsi="Times New Roman"/>
          <w:b w:val="false"/>
          <w:i w:val="false"/>
          <w:color w:val="000000"/>
          <w:sz w:val="22"/>
        </w:rPr>
        <w:t xml:space="preserve">Appeals brought under this chapter are not contested cases, appellants will not be granted a contested case hearing, and the provisions in </w:t>
      </w:r>
      <w:hyperlink r:id="rId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do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301.4.pdf" Type="http://schemas.openxmlformats.org/officeDocument/2006/relationships/hyperlink" Id="rId4"/>
    <Relationship TargetMode="External" Target="https://www.legis.iowa.gov/docs/ico/chapter/17A.17.pdf" Type="http://schemas.openxmlformats.org/officeDocument/2006/relationships/hyperlink" Id="rId5"/>
    <Relationship TargetMode="External" Target="https://www.legis.iowa.gov/docs/iac/rule/7.2506.23.pdf" Type="http://schemas.openxmlformats.org/officeDocument/2006/relationships/hyperlink" Id="rId6"/>
    <Relationship TargetMode="External" Target="https://www.legis.iowa.gov/docs/ico/chapter/17A.19.pdf" Type="http://schemas.openxmlformats.org/officeDocument/2006/relationships/hyperlink" Id="rId7"/>
    <Relationship TargetMode="External" Target="https://www.legis.iowa.gov/docs/ico/chapter/17A.19.pdf" Type="http://schemas.openxmlformats.org/officeDocument/2006/relationships/hyperlink" Id="rId8"/>
    <Relationship TargetMode="External" Target="https://www.legis.iowa.gov/docs/iac/chapter/441.250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