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281—96.8</w:t>
      </w:r>
      <w:r>
        <w:rPr>
          <w:rFonts w:ascii="Times New Roman" w:hAnsi="Times New Roman"/>
          <w:b/>
          <w:i w:val="false"/>
          <w:color w:val="000000"/>
          <w:sz w:val="22"/>
        </w:rPr>
        <w:t xml:space="preserve">(423E,423F) </w:t>
      </w:r>
      <w:r>
        <w:rPr>
          <w:rFonts w:ascii="Times New Roman" w:hAnsi="Times New Roman"/>
          <w:b/>
          <w:i w:val="false"/>
          <w:color w:val="000000"/>
          <w:sz w:val="22"/>
        </w:rPr>
        <w:t xml:space="preserve">Appeal of certificate denial. </w:t>
      </w:r>
      <w:r>
        <w:rPr>
          <w:rFonts w:ascii="Times New Roman" w:hAnsi="Times New Roman"/>
          <w:b w:val="false"/>
          <w:i w:val="false"/>
          <w:color w:val="000000"/>
          <w:sz w:val="22"/>
        </w:rPr>
        <w:t xml:space="preserve">Any applicant may appeal the denial of a properly submitted application for certificate of need to the director of the department. Appeals are to be (1) in writing, (2) received within ten working days of the date of the notice of the decision to deny, and (3) based on a contention that the process was conducted outside of statutory authority; violated state or federal law, policy, or rule; did not provide adequate public notice; was altered without adequate public notice; or involved conflict of interest by staff or committee members. The hearing and appeals procedures found in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that govern the director’s decisions apply to any appeal of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