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281—36.10</w:t>
      </w:r>
      <w:r>
        <w:rPr>
          <w:rFonts w:ascii="Times New Roman" w:hAnsi="Times New Roman"/>
          <w:b/>
          <w:i w:val="false"/>
          <w:color w:val="000000"/>
          <w:sz w:val="22"/>
        </w:rPr>
        <w:t xml:space="preserve">(280) </w:t>
      </w:r>
      <w:r>
        <w:rPr>
          <w:rFonts w:ascii="Times New Roman" w:hAnsi="Times New Roman"/>
          <w:b/>
          <w:i w:val="false"/>
          <w:color w:val="000000"/>
          <w:sz w:val="22"/>
        </w:rPr>
        <w:t xml:space="preserve">Appeals to director. </w:t>
      </w:r>
      <w:r>
        <w:rPr>
          <w:rFonts w:ascii="Times New Roman" w:hAnsi="Times New Roman"/>
          <w:b w:val="false"/>
          <w:i w:val="false"/>
          <w:color w:val="000000"/>
          <w:sz w:val="22"/>
        </w:rPr>
        <w:t xml:space="preserve">If the claimant is still dissatisfied, an appeal may be made in writing to the director of education by giving written notice of the appeal to the state director of education with a copy by registered mail to the executive officer of the governing organization. An appeal is to be in the form of an affidavit and be filed within ten business days after the date of mailing of the decision of the governing organization. The director of education will establish a date for hearing within 20 calendar days of receipt of written notice of appeal by giving at least 5 business days’ written notice of hearing to the appellant, unless another time is mutually agreeable. The procedures for hearing adopted by the state board of education and found at </w:t>
      </w:r>
      <w:hyperlink r:id="rId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are applicable, except that the decision of the director is final. Appeals to the executive board and the state director are not contested cases under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The burden of proving entitlement to relief under this rule lies with the party seeking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6.pdf" Type="http://schemas.openxmlformats.org/officeDocument/2006/relationships/hyperlink" Id="rId4"/>
    <Relationship TargetMode="External" Target="https://www.legis.iowa.gov/docs/ico/chapter/17A.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