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281—20.4</w:t>
      </w:r>
      <w:r>
        <w:rPr>
          <w:rFonts w:ascii="Times New Roman" w:hAnsi="Times New Roman"/>
          <w:b/>
          <w:i w:val="false"/>
          <w:color w:val="000000"/>
          <w:sz w:val="22"/>
        </w:rPr>
        <w:t xml:space="preserve">(257) </w:t>
      </w:r>
      <w:r>
        <w:rPr>
          <w:rFonts w:ascii="Times New Roman" w:hAnsi="Times New Roman"/>
          <w:b/>
          <w:i w:val="false"/>
          <w:color w:val="000000"/>
          <w:sz w:val="22"/>
        </w:rPr>
        <w:t xml:space="preserve">Administration, accountability, monitoring, and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w:t>
      </w:r>
      <w:r>
        <w:rPr>
          <w:rFonts w:ascii="Times New Roman" w:hAnsi="Times New Roman"/>
          <w:b w:val="false"/>
          <w:i w:val="false"/>
          <w:color w:val="000000"/>
          <w:sz w:val="22"/>
        </w:rPr>
        <w:t> </w:t>
      </w:r>
      <w:r>
        <w:rPr>
          <w:rFonts w:ascii="Times New Roman" w:hAnsi="Times New Roman"/>
          <w:b w:val="false"/>
          <w:i w:val="false"/>
          <w:color w:val="000000"/>
          <w:sz w:val="22"/>
        </w:rPr>
        <w:t>The department will take reasonable efforts to verify eligibility of parents, students, nonpublic schools, and providers to participate in this chapter, including verifying information with other 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w:t>
      </w:r>
      <w:r>
        <w:rPr>
          <w:rFonts w:ascii="Times New Roman" w:hAnsi="Times New Roman"/>
          <w:b w:val="false"/>
          <w:i w:val="false"/>
          <w:color w:val="000000"/>
          <w:sz w:val="22"/>
        </w:rPr>
        <w:t> </w:t>
      </w:r>
      <w:r>
        <w:rPr>
          <w:rFonts w:ascii="Times New Roman" w:hAnsi="Times New Roman"/>
          <w:b w:val="false"/>
          <w:i w:val="false"/>
          <w:color w:val="000000"/>
          <w:sz w:val="22"/>
        </w:rPr>
        <w:t>The department will make an equal distribution of funds under this chapter to a third-party entity, for distribution to eligible students’ accounts, after confirming enrollment at the start of the academic year and enrollment and attendance at the midpoint of the academic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w:t>
      </w:r>
      <w:r>
        <w:rPr>
          <w:rFonts w:ascii="Times New Roman" w:hAnsi="Times New Roman"/>
          <w:b w:val="false"/>
          <w:i w:val="false"/>
          <w:color w:val="000000"/>
          <w:sz w:val="22"/>
        </w:rPr>
        <w:t> </w:t>
      </w:r>
      <w:r>
        <w:rPr>
          <w:rFonts w:ascii="Times New Roman" w:hAnsi="Times New Roman"/>
          <w:b w:val="false"/>
          <w:i w:val="false"/>
          <w:color w:val="000000"/>
          <w:sz w:val="22"/>
        </w:rPr>
        <w:t>The department’s actions under Iowa Code section 257.11B(5)</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2023 Iowa Acts, House File 68</w:t>
      </w:r>
      <w:r>
        <w:rPr>
          <w:rFonts w:ascii="Times New Roman" w:hAnsi="Times New Roman"/>
          <w:b w:val="false"/>
          <w:i w:val="false"/>
          <w:color w:val="000000"/>
          <w:sz w:val="22"/>
        </w:rPr>
        <w:t>, section 7, may be any action consistent with the department’s authority under Iowa Code section</w:t>
      </w:r>
      <w:hyperlink r:id="rId4">
        <w:r>
          <w:rPr>
            <w:rStyle w:val="Hyperlink"/>
            <w:rFonts w:ascii="Times New Roman" w:hAnsi="Times New Roman"/>
            <w:b w:val="false"/>
            <w:i w:val="false"/>
            <w:color w:val="000000"/>
            <w:sz w:val="22"/>
          </w:rPr>
          <w:t> 256.1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20.4(4)</w:t>
      </w:r>
      <w:r>
        <w:rPr>
          <w:rFonts w:ascii="Times New Roman" w:hAnsi="Times New Roman"/>
          <w:b w:val="false"/>
          <w:i w:val="false"/>
          <w:color w:val="000000"/>
          <w:sz w:val="22"/>
        </w:rPr>
        <w:t> </w:t>
      </w:r>
      <w:r>
        <w:rPr>
          <w:rFonts w:ascii="Times New Roman" w:hAnsi="Times New Roman"/>
          <w:b w:val="false"/>
          <w:i w:val="false"/>
          <w:color w:val="000000"/>
          <w:sz w:val="22"/>
        </w:rPr>
        <w:t>The department must recover all improperly paid ESA funds. The department and its director have flexibility to engage in voluntary collection activities if overpayments were based on a good faith error. For purposes of this chapter, a “false claim” is a statement made in conjunction with this program that is knowingly false or in reckless disregard of the truth.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20.4(5)</w:t>
      </w:r>
      <w:r>
        <w:rPr>
          <w:rFonts w:ascii="Times New Roman" w:hAnsi="Times New Roman"/>
          <w:b w:val="false"/>
          <w:i w:val="false"/>
          <w:color w:val="000000"/>
          <w:sz w:val="22"/>
        </w:rPr>
        <w:t> </w:t>
      </w:r>
      <w:r>
        <w:rPr>
          <w:rFonts w:ascii="Times New Roman" w:hAnsi="Times New Roman"/>
          <w:b w:val="false"/>
          <w:i w:val="false"/>
          <w:color w:val="000000"/>
          <w:sz w:val="22"/>
        </w:rPr>
        <w:t xml:space="preserve">A parent or guardian may appeal to the state board of education any administrative decision the department or third-party entity makes pursuant to this chapter, including determinations of eligibility, allowable expenses, and removal from the program. An appeal under this subrule must be signed and in writing. Electronic submissions and signatures are allowed. Any appeals under this subrule are timely if filed within 30 days of the date of the administrative decision and are governed by </w:t>
      </w:r>
      <w:hyperlink r:id="rId5">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7061C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6.1.pdf" Type="http://schemas.openxmlformats.org/officeDocument/2006/relationships/hyperlink" Id="rId4"/>
    <Relationship TargetMode="External" Target="https://www.legis.iowa.gov/docs/iac/chapter/7.2506.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