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27—60.19</w:t>
      </w:r>
      <w:r>
        <w:rPr>
          <w:rFonts w:ascii="Times New Roman" w:hAnsi="Times New Roman"/>
          <w:b/>
          <w:i w:val="false"/>
          <w:color w:val="000000"/>
          <w:sz w:val="22"/>
        </w:rPr>
        <w:t xml:space="preserve">(208) </w:t>
      </w:r>
      <w:r>
        <w:rPr>
          <w:rFonts w:ascii="Times New Roman" w:hAnsi="Times New Roman"/>
          <w:b/>
          <w:i w:val="false"/>
          <w:color w:val="000000"/>
          <w:sz w:val="22"/>
        </w:rPr>
        <w:t xml:space="preserve">Subsidence.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An operator of a registered mine site shall notify the division within 48 hours of discovery of a subsidence. Upon notification to the division, the operator shall submit an initial assessment of the subsidence to the division within 14 business days. An initial assessment must include but is not limited to the estimated depth and width of the subsidence, a map of the surface area affected, and a map of the underground collapse.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60.19(2)</w:t>
      </w:r>
      <w:r>
        <w:rPr>
          <w:rFonts w:ascii="Times New Roman" w:hAnsi="Times New Roman"/>
          <w:b w:val="false"/>
          <w:i w:val="false"/>
          <w:color w:val="000000"/>
          <w:sz w:val="22"/>
        </w:rPr>
        <w:t> </w:t>
      </w:r>
      <w:r>
        <w:rPr>
          <w:rFonts w:ascii="Times New Roman" w:hAnsi="Times New Roman"/>
          <w:b w:val="false"/>
          <w:i/>
          <w:color w:val="000000"/>
          <w:sz w:val="22"/>
        </w:rPr>
        <w:t xml:space="preserve">Subsidence repair plans. </w:t>
      </w:r>
      <w:r>
        <w:rPr>
          <w:rFonts w:ascii="Times New Roman" w:hAnsi="Times New Roman"/>
          <w:b w:val="false"/>
          <w:i w:val="false"/>
          <w:color w:val="000000"/>
          <w:sz w:val="22"/>
        </w:rPr>
        <w:t>Following an initial assessment, an operator shall submit a subsidence repair plan to the division within a time period determined by the division. In consultation with the division, the plan shall include, to the extent necessary,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scaled and georeferenced map indicating the location of the subsidence.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proposed methods and steps to address and repair any damage caused by the subsidence.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proposed timeline outlining the phases and expected duration of the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Written approval of plans, observations, and completion of the repair by a licensed professional engineer or an experienced and qualified mining professional to the satisfaction of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0545D</w:t>
      </w:r>
      <w:r>
        <w:rPr>
          <w:rFonts w:ascii="Times New Roman" w:hAnsi="Times New Roman"/>
          <w:b w:val="false"/>
          <w:i w:val="false"/>
          <w:color w:val="000000"/>
          <w:sz w:val="16"/>
        </w:rPr>
        <w:t>, IAB 9/2/26,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